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Ещ</w:t>
      </w:r>
      <w:r>
        <w:rPr>
          <w:rFonts w:cs="Times New Roman" w:ascii="Times New Roman" w:hAnsi="Times New Roman"/>
          <w:b/>
          <w:sz w:val="28"/>
          <w:szCs w:val="28"/>
        </w:rPr>
        <w:t>ё</w:t>
      </w:r>
      <w:r>
        <w:rPr>
          <w:rFonts w:cs="Times New Roman" w:ascii="Times New Roman" w:hAnsi="Times New Roman"/>
          <w:b/>
          <w:sz w:val="28"/>
          <w:szCs w:val="28"/>
        </w:rPr>
        <w:t xml:space="preserve"> два Центра общения старшего поколения появились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Волгоградской области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На этот раз площадки открыты в Старополтавском и Чернышковском районах.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 и 26 апреля в клиентских службах Старополтавского и Чернышковского района Отделения Социального фонда России по Волгоградской области состоялось открытие ещ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двух Центров общения старшего поколения </w:t>
      </w:r>
      <w:r>
        <w:rPr>
          <w:rFonts w:cs="Times New Roman" w:ascii="Times New Roman" w:hAnsi="Times New Roman"/>
          <w:sz w:val="28"/>
          <w:szCs w:val="28"/>
        </w:rPr>
        <w:t>(ЦОСП)</w:t>
      </w:r>
      <w:r>
        <w:rPr>
          <w:rFonts w:cs="Times New Roman" w:ascii="Times New Roman" w:hAnsi="Times New Roman"/>
          <w:sz w:val="28"/>
          <w:szCs w:val="28"/>
        </w:rPr>
        <w:t xml:space="preserve">. В регионе работают уже 19 </w:t>
      </w:r>
      <w:r>
        <w:rPr>
          <w:rFonts w:cs="Times New Roman" w:ascii="Times New Roman" w:hAnsi="Times New Roman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ентров. Это — площадки, где представители серебряного возраста могут собраться вместе для проведения праздников, литературных вечеров, шахматных турниров и т.д. Здесь специалисты Отделения фонда проводят занятия по информационной безопасности, организовывают различные волонт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рские и благотворительные акции, интересные встречи с представителями органов власти.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«П</w:t>
      </w:r>
      <w:r>
        <w:rPr>
          <w:rStyle w:val="Strong"/>
          <w:rFonts w:ascii="Times New Roman" w:hAnsi="Times New Roman"/>
          <w:b w:val="false"/>
          <w:sz w:val="28"/>
          <w:szCs w:val="28"/>
        </w:rPr>
        <w:t>рактика показывает, что Центры общения пользуются популярностью среди представителей серебряного возраста.</w:t>
      </w:r>
      <w:r>
        <w:rPr>
          <w:rFonts w:ascii="Times New Roman" w:hAnsi="Times New Roman"/>
          <w:sz w:val="28"/>
          <w:szCs w:val="28"/>
        </w:rPr>
        <w:t xml:space="preserve"> Встречи и занятия проходят еженедельно, их посещают более 200 человек.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Активисты Центров участвуют во всех мероприятиях и программах “серебряного” волонт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рства. Это помогает им почувствовать себя нужными и востребованными», — отметил управляющий ОСФР по Волгоградской области </w:t>
      </w:r>
      <w:r>
        <w:rPr>
          <w:rFonts w:ascii="Times New Roman" w:hAnsi="Times New Roman"/>
          <w:b/>
          <w:sz w:val="28"/>
          <w:szCs w:val="28"/>
        </w:rPr>
        <w:t>Владимир Федоров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новых Центрах есть вс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для проведения самых разных мероприятий: компьютеры с интернетом, зал для мастер-классов и тренингов, различные настольные игры, мини-библиотека, проектор для совместного просмотра фильмов и т.д.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Подробнее с работой Центров можно ознакомиться на сайте ОСФР в разделе «Центры общения для людей старшего поколения».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2024-05-07T08:19:46Z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