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C начала года почти 4 тысячи пенсий в Волгоградской области 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назначено проактивно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 xml:space="preserve">С 1 января текущего года гражданам, признанным инвалидами, больше не нужно обращаться в региональный Пенсионный фонд за назначением пенсии. Выплата назначается в беззаявительном порядке благодаря межведомственному документообороту. Органы Пенсионного фонда по Волгоградской области получают от МСЭ информацию о присвоении гражданину статуса инвалида и в течение 5 рабочих дней назначают </w:t>
      </w:r>
      <w:r>
        <w:rPr>
          <w:rFonts w:ascii="Liberation Sans" w:hAnsi="Liberation Sans"/>
          <w:b/>
          <w:bCs/>
          <w:sz w:val="28"/>
          <w:szCs w:val="28"/>
        </w:rPr>
        <w:t>пенсии по инвалидности</w:t>
      </w:r>
      <w:r>
        <w:rPr>
          <w:rFonts w:ascii="Liberation Sans" w:hAnsi="Liberation Sans"/>
          <w:sz w:val="28"/>
          <w:szCs w:val="28"/>
        </w:rPr>
        <w:t>. Ещ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 xml:space="preserve"> в течение 7 рабочих дней производится первая выплата средств. Пенсия по инвалидности подобным способом уже назначена и выплачивается 2 645 жителям региона.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 xml:space="preserve">В этом году также реализована и возможность назначения </w:t>
      </w:r>
      <w:r>
        <w:rPr>
          <w:rFonts w:ascii="Liberation Sans" w:hAnsi="Liberation Sans"/>
          <w:b/>
          <w:bCs/>
          <w:sz w:val="28"/>
          <w:szCs w:val="28"/>
        </w:rPr>
        <w:t>страховой пенсии по старости</w:t>
      </w:r>
      <w:r>
        <w:rPr>
          <w:rFonts w:ascii="Liberation Sans" w:hAnsi="Liberation Sans"/>
          <w:sz w:val="28"/>
          <w:szCs w:val="28"/>
        </w:rPr>
        <w:t xml:space="preserve"> в автоматическом режиме. Предварительно с гражданином проводится заблаговременная работа по подготовке к выходу на пенсию на общих основаниях (предпенсионер не является льготником, не имеет стажа в СНГ) и он согласен, что на лицевом сч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>те в ПФР его пенсионные права учтены полностью, то при достижении соответствующего возраста и требований к стажу и пенсионным коэф</w:t>
      </w:r>
      <w:bookmarkStart w:id="0" w:name="_GoBack"/>
      <w:bookmarkEnd w:id="0"/>
      <w:r>
        <w:rPr>
          <w:rFonts w:ascii="Liberation Sans" w:hAnsi="Liberation Sans"/>
          <w:sz w:val="28"/>
          <w:szCs w:val="28"/>
        </w:rPr>
        <w:t>фициентам пенсия по старости ему назначается в автоматическом порядке. В текущем году отделением ПФР по Волгоградской области в автоматическом порядке назначено свыше 500 пенсий.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 xml:space="preserve">Без подачи заявления с этого года назначается и </w:t>
      </w:r>
      <w:r>
        <w:rPr>
          <w:rFonts w:ascii="Liberation Sans" w:hAnsi="Liberation Sans"/>
          <w:b/>
          <w:bCs/>
          <w:sz w:val="28"/>
          <w:szCs w:val="28"/>
        </w:rPr>
        <w:t>страховая пенсия по старости по предложению службы занятости</w:t>
      </w:r>
      <w:r>
        <w:rPr>
          <w:rFonts w:ascii="Liberation Sans" w:hAnsi="Liberation Sans"/>
          <w:sz w:val="28"/>
          <w:szCs w:val="28"/>
        </w:rPr>
        <w:t xml:space="preserve"> – для тех граждан, кому до пенсии осталось не более двух лет, но по объективным причинам им не получается подобрать место работы. В этом году таким способом вышло на пенсию по</w:t>
      </w:r>
      <w:r>
        <w:rPr>
          <w:rFonts w:ascii="Liberation Sans" w:hAnsi="Liberation Sans"/>
          <w:sz w:val="28"/>
          <w:szCs w:val="28"/>
        </w:rPr>
        <w:t>чти 100</w:t>
      </w:r>
      <w:r>
        <w:rPr>
          <w:rFonts w:ascii="Liberation Sans" w:hAnsi="Liberation Sans"/>
          <w:sz w:val="28"/>
          <w:szCs w:val="28"/>
        </w:rPr>
        <w:t xml:space="preserve"> жителей нашего региона.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>Ещ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 xml:space="preserve"> одна категория граждан, которым больше не требуется обращаться в ПФР по Волгоградской области для решения пенсионных вопросов, – это получатели </w:t>
      </w:r>
      <w:r>
        <w:rPr>
          <w:rFonts w:ascii="Liberation Sans" w:hAnsi="Liberation Sans"/>
          <w:b/>
          <w:bCs/>
          <w:sz w:val="28"/>
          <w:szCs w:val="28"/>
        </w:rPr>
        <w:t>пенсии по потере кормильца</w:t>
      </w:r>
      <w:r>
        <w:rPr>
          <w:rFonts w:ascii="Liberation Sans" w:hAnsi="Liberation Sans"/>
          <w:sz w:val="28"/>
          <w:szCs w:val="28"/>
        </w:rPr>
        <w:t>, достигшие 80 лет. В связи с появлением с этого возраста права на удвоение фиксированной выплаты им может быть более выгодно получать страховую пенсию по старости. Если специалист при расч</w:t>
      </w:r>
      <w:r>
        <w:rPr>
          <w:rFonts w:ascii="Liberation Sans" w:hAnsi="Liberation Sans"/>
          <w:sz w:val="28"/>
          <w:szCs w:val="28"/>
        </w:rPr>
        <w:t>ё</w:t>
      </w:r>
      <w:r>
        <w:rPr>
          <w:rFonts w:ascii="Liberation Sans" w:hAnsi="Liberation Sans"/>
          <w:sz w:val="28"/>
          <w:szCs w:val="28"/>
        </w:rPr>
        <w:t>те видит, что новый размер пенсии действительно выше, чем прежний, то в этом случае перевод будет осуществлен в беззаявительном режиме. В 2022 году таким образом пенсия выросла более чем у 600 жителей Волгоградской области.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Application>LibreOffice/5.0.4.2$Windows_x86 LibreOffice_project/2b9802c1994aa0b7dc6079e128979269cf95bc78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2022-11-14T14:17:05Z</dcterms:modified>
  <cp:revision>131</cp:revision>
</cp:coreProperties>
</file>