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sz w:val="8"/>
          <w:szCs w:val="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Более 111 тысяч жителей Волгоградской области, достигших 80-летнего возраста, получили пенсию в повышенном размере</w:t>
      </w:r>
    </w:p>
    <w:p>
      <w:pPr>
        <w:pStyle w:val="Normal"/>
        <w:spacing w:lineRule="auto" w:line="240"/>
        <w:jc w:val="both"/>
        <w:rPr/>
      </w:pPr>
      <w:r>
        <w:rPr>
          <w:rStyle w:val="Style14"/>
          <w:rFonts w:ascii="Times New Roman" w:hAnsi="Times New Roman"/>
          <w:sz w:val="26"/>
          <w:szCs w:val="26"/>
        </w:rPr>
        <w:t>Пенсионерам по достижении 80 лет фиксированная часть страховой пенсии по старости увеличивается в два раза. На сегодняшний день Отделение СФР по Волгоградской области выплачивает повышенную пенсию более 111 тысячам человек, достигших 80-летнего возраста. 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Фиксированная выплата является частью страховой пенсии, гарантируется государством и не зависит от стажа, заработной платы и страховых взносов. С 1 января 2024 года е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размер составляет </w:t>
      </w:r>
      <w:r>
        <w:rPr>
          <w:rFonts w:ascii="Times New Roman" w:hAnsi="Times New Roman"/>
          <w:b/>
          <w:bCs/>
          <w:sz w:val="26"/>
          <w:szCs w:val="26"/>
        </w:rPr>
        <w:t>8 134</w:t>
      </w:r>
      <w:r>
        <w:rPr>
          <w:rFonts w:ascii="Times New Roman" w:hAnsi="Times New Roman"/>
          <w:sz w:val="26"/>
          <w:szCs w:val="26"/>
        </w:rPr>
        <w:t xml:space="preserve"> рубля, соответственно, в двойном размере — </w:t>
      </w:r>
      <w:r>
        <w:rPr>
          <w:rFonts w:ascii="Times New Roman" w:hAnsi="Times New Roman"/>
          <w:b/>
          <w:bCs/>
          <w:sz w:val="26"/>
          <w:szCs w:val="26"/>
        </w:rPr>
        <w:t>16 268</w:t>
      </w:r>
      <w:r>
        <w:rPr>
          <w:rFonts w:ascii="Times New Roman" w:hAnsi="Times New Roman"/>
          <w:sz w:val="26"/>
          <w:szCs w:val="26"/>
        </w:rPr>
        <w:t xml:space="preserve"> рублей в месяц.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«Пожилым гражданам не требуется самостоятельно обращаться с заявлением в Отделение Фонда. Перерасч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 выплаты происходит автоматически,  когда получателю страховой пенсии по старости исполнится 80 лет. Пенсия в новом размере перечисляется в месяце, следующем за месяцем исполнения гражданину указанной даты. Например, пенсионер отметил юбилей в апреле. Повышенная пенсия будет перечислена ему в мае с доплатой за часть апреля, начиная с даты рождения. Далее пенсия с уч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том фиксированной выплаты будет перечисляться гражданину ежемесячно», — прокомментировал управляющий Отделением СФР по Волгоградской области Владимир Федоров.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Рассчитывать на увеличение пенсии могут не только граждане, получающие страховую пенсию по старости. Пенсионерам с инвалидностью I группы фиксированная выплата в двойном размере назначается с момента установления инвалидности, независимо от возраста. Следовательно, при достижении 80 лет пенсия для указанной категории оста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тся прежней. Законом не предусмотрено удвоение фиксированной выплаты для получателей страховых пенсий по потере кормильца, а также социальных пенсий.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получателей страховой пенсии по случаю потери кормильца по достижении 80 лет специалисты Отделения Социального фонда по Волгоградской области беззаявительно производят расч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 более выгодного варианта пенсионного обеспечения. Если переход на страховую пенсию по старости привед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 к увеличению размера пенсии, гражданин будет проактивно перевед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 на этот вид пенсии.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у вас остались вопросы, вы всегда можете обратиться к специалистам Отделения СФР по Волгоградской области, позвонив в единый контакт-центр: 8 (800) 100-00-01 (звонок бесплатный).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2024-04-18T10:21:53Z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