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-1095375</wp:posOffset>
                </wp:positionH>
                <wp:positionV relativeFrom="paragraph">
                  <wp:posOffset>76200</wp:posOffset>
                </wp:positionV>
                <wp:extent cx="6666230" cy="1905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76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6.3pt,5.35pt" to="438.5pt,6.7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Style27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48"/>
          <w:lang w:eastAsia="ru-RU"/>
        </w:rPr>
        <w:t>Пенсионный фонд России расширил перечень предоставляемых мер соцподдержки</w:t>
      </w:r>
    </w:p>
    <w:p>
      <w:pPr>
        <w:pStyle w:val="Style27"/>
        <w:jc w:val="center"/>
        <w:rPr>
          <w:rFonts w:ascii="Times New Roman" w:hAnsi="Times New Roman" w:cs="Times New Roman"/>
          <w:b/>
          <w:b/>
          <w:bCs/>
          <w:sz w:val="24"/>
          <w:szCs w:val="48"/>
          <w:lang w:eastAsia="ru-RU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48"/>
          <w:lang w:eastAsia="ru-RU"/>
        </w:rPr>
        <w:tab/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С 1 января 2022 года ПФР предоставляет россиянам ряд выплат, компенсаций и пособий, которые прежде назначали и выплачивали органы социальной защиты и Роструд.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212121"/>
          <w:sz w:val="24"/>
          <w:szCs w:val="24"/>
          <w:lang w:eastAsia="ru-RU"/>
        </w:rPr>
        <w:tab/>
        <w:t xml:space="preserve">В соответствии с </w:t>
      </w:r>
      <w:hyperlink r:id="rId4">
        <w:r>
          <w:rPr>
            <w:rStyle w:val="Style11"/>
            <w:rFonts w:eastAsia="Times New Roman" w:cs="Times New Roman" w:ascii="Times New Roman" w:hAnsi="Times New Roman"/>
            <w:b w:val="false"/>
            <w:bCs w:val="false"/>
            <w:color w:val="000000"/>
            <w:sz w:val="24"/>
            <w:szCs w:val="24"/>
            <w:u w:val="none"/>
            <w:lang w:eastAsia="ru-RU"/>
          </w:rPr>
          <w:t>принятыми поправками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212121"/>
          <w:sz w:val="24"/>
          <w:szCs w:val="24"/>
          <w:lang w:eastAsia="ru-RU"/>
        </w:rPr>
        <w:t xml:space="preserve"> в федеральное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законодательство на ПФР возлагаются новые дополнительные функции и бюджетные полномочия по осуществлению некоторых мер социальной поддержк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и, которые исполня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региональные органы соцзащиты и Роструд на основании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более 21 тысячи выплатных дел</w:t>
      </w:r>
      <w:r>
        <w:rPr>
          <w:rFonts w:eastAsia="Times New Roman" w:cs="Times New Roman" w:ascii="Times New Roman" w:hAnsi="Times New Roman"/>
          <w:color w:val="212121"/>
          <w:sz w:val="24"/>
          <w:szCs w:val="24"/>
          <w:lang w:eastAsia="ru-RU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12121"/>
          <w:lang w:eastAsia="ru-RU"/>
        </w:rPr>
      </w:pPr>
      <w:r>
        <w:rPr>
          <w:sz w:val="12"/>
          <w:szCs w:val="12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Речь идет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 пособиях, выплатах, компенсациях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для пяти категорий россиян: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неработающим гражданам, имеющим детей;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лицам, подвергшимся воздействию радиации;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реабилитированным лицам;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инвалидам (детям-инвалидам), имеющим транспортные средства по медицинским показаниям;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военнослужащим и членам их семей, пенсионное обеспечение которых осуществляет ПФР. </w:t>
      </w:r>
    </w:p>
    <w:p>
      <w:pPr>
        <w:pStyle w:val="Normal"/>
        <w:numPr>
          <w:ilvl w:val="0"/>
          <w:numId w:val="0"/>
        </w:numPr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highlight w:val="white"/>
        </w:rPr>
        <w:tab/>
        <w:t xml:space="preserve">Так, к примеру, </w:t>
      </w:r>
      <w:r>
        <w:rPr>
          <w:rFonts w:cs="Times New Roman" w:ascii="Times New Roman" w:hAnsi="Times New Roman"/>
          <w:sz w:val="24"/>
          <w:szCs w:val="24"/>
        </w:rPr>
        <w:t>через Пенсионный фонд РФ с нового года будут назначаться следующие виды пособий для граждан, имеющих детей: ежемесячное пособие неработающим гражданам по уходу за ребенком до 1,5 лет; пособие по беременности и родам женщинам, уволенным в связи с ликвидацией организации; единовременное пособие при рождении ребенка; единовременное пособие при передаче ребенка на воспитание в семью; единовременное пособие беременной жене военнослужащего, проходящего военную службу по призыву; ежемесячное пособие на ребенка военнослужащего, проходящего военную службу по призыву.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ab/>
        <w:t xml:space="preserve">С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полным перечнем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передаваемых мер можно ознакомиться на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 </w:t>
      </w:r>
      <w:hyperlink r:id="rId5">
        <w:r>
          <w:rPr>
            <w:rStyle w:val="Style11"/>
            <w:rFonts w:cs="Times New Roman" w:ascii="Times New Roman" w:hAnsi="Times New Roman"/>
            <w:color w:val="000000"/>
            <w:sz w:val="24"/>
            <w:szCs w:val="24"/>
            <w:highlight w:val="white"/>
            <w:u w:val="none"/>
          </w:rPr>
          <w:t>сайте ПФР</w:t>
        </w:r>
      </w:hyperlink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(</w:t>
      </w:r>
      <w:hyperlink r:id="rId6">
        <w:r>
          <w:rPr>
            <w:rStyle w:val="Style11"/>
            <w:rFonts w:cs="Times New Roman" w:ascii="Times New Roman" w:hAnsi="Times New Roman"/>
            <w:sz w:val="24"/>
            <w:szCs w:val="24"/>
            <w:shd w:fill="FFFFFF" w:val="clear"/>
          </w:rPr>
          <w:t>https://pfr.gov.ru/grazhdanam/mery_podderzhki</w:t>
        </w:r>
      </w:hyperlink>
      <w:hyperlink r:id="rId7">
        <w:r>
          <w:rPr>
            <w:rFonts w:cs="Times New Roman" w:ascii="Times New Roman" w:hAnsi="Times New Roman"/>
            <w:sz w:val="24"/>
            <w:szCs w:val="24"/>
            <w:shd w:fill="FFFFFF" w:val="clear"/>
          </w:rPr>
          <w:t>)</w:t>
        </w:r>
      </w:hyperlink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highlight w:val="white"/>
        </w:rPr>
      </w:pPr>
      <w:r>
        <w:rPr>
          <w:sz w:val="12"/>
          <w:szCs w:val="12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  <w:r>
        <w:rPr>
          <w:rFonts w:cs="Times New Roman" w:ascii="Times New Roman" w:hAnsi="Times New Roman"/>
          <w:sz w:val="24"/>
          <w:szCs w:val="24"/>
        </w:rPr>
        <w:t>Назначать новые выплаты, компенсации и пособия Пенсионный фонд будет за сч</w:t>
      </w:r>
      <w:r>
        <w:rPr>
          <w:rFonts w:cs="Times New Roman" w:ascii="Times New Roman" w:hAnsi="Times New Roman"/>
          <w:sz w:val="24"/>
          <w:szCs w:val="24"/>
        </w:rPr>
        <w:t>ё</w:t>
      </w:r>
      <w:r>
        <w:rPr>
          <w:rFonts w:cs="Times New Roman" w:ascii="Times New Roman" w:hAnsi="Times New Roman"/>
          <w:sz w:val="24"/>
          <w:szCs w:val="24"/>
        </w:rPr>
        <w:t xml:space="preserve">т организации межведомственного взаимодействия. </w:t>
      </w:r>
      <w:r>
        <w:rPr>
          <w:rFonts w:cs="Times New Roman" w:ascii="Times New Roman" w:hAnsi="Times New Roman"/>
          <w:sz w:val="24"/>
          <w:szCs w:val="24"/>
        </w:rPr>
        <w:t>Т</w:t>
      </w:r>
      <w:r>
        <w:rPr>
          <w:rFonts w:cs="Times New Roman" w:ascii="Times New Roman" w:hAnsi="Times New Roman"/>
          <w:sz w:val="24"/>
          <w:szCs w:val="24"/>
        </w:rPr>
        <w:t xml:space="preserve">о есть гражданам, уже получающим эти меры соцподдержки, назначенные выплаты будут производиться Пенсионным фондом РФ автоматически на реквизиты, указанные ранее. В этом случае </w:t>
      </w:r>
      <w:r>
        <w:rPr>
          <w:rFonts w:cs="Times New Roman" w:ascii="Times New Roman" w:hAnsi="Times New Roman"/>
          <w:b/>
          <w:sz w:val="24"/>
          <w:szCs w:val="24"/>
        </w:rPr>
        <w:t>обращаться в ПФР не требуется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ab/>
        <w:t>Если же гражданин имеет право на эти пособия, но ещё не воспользовался им, то с 1 января 2022 г</w:t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ода</w:t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 xml:space="preserve"> ему необходимо обратиться </w:t>
      </w:r>
      <w:r>
        <w:rPr>
          <w:rFonts w:cs="Times New Roman" w:ascii="Times New Roman" w:hAnsi="Times New Roman"/>
          <w:b/>
          <w:color w:val="222222"/>
          <w:sz w:val="24"/>
          <w:szCs w:val="24"/>
          <w:shd w:fill="FFFFFF" w:val="clear"/>
        </w:rPr>
        <w:t>в клиентскую службу ПФР.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222222"/>
          <w:highlight w:val="white"/>
        </w:rPr>
      </w:pPr>
      <w:r>
        <w:rPr>
          <w:sz w:val="12"/>
          <w:szCs w:val="12"/>
        </w:rPr>
      </w:r>
    </w:p>
    <w:p>
      <w:pPr>
        <w:pStyle w:val="Normal"/>
        <w:jc w:val="both"/>
        <w:rPr/>
      </w:pPr>
      <w:r>
        <w:rPr>
          <w:rStyle w:val="Style14"/>
          <w:i w:val="false"/>
          <w:color w:val="212121"/>
        </w:rPr>
        <w:tab/>
        <w:t xml:space="preserve">В рамках подготовки к осуществлению данных полномочий в </w:t>
      </w:r>
      <w:r>
        <w:rPr>
          <w:rStyle w:val="Style14"/>
          <w:b w:val="false"/>
          <w:bCs w:val="false"/>
          <w:i w:val="false"/>
          <w:color w:val="212121"/>
        </w:rPr>
        <w:t>субъектах Российской Федерации</w:t>
      </w:r>
      <w:r>
        <w:rPr>
          <w:rStyle w:val="Style14"/>
          <w:i w:val="false"/>
          <w:color w:val="212121"/>
        </w:rPr>
        <w:t xml:space="preserve"> </w:t>
      </w:r>
      <w:r>
        <w:rPr>
          <w:rStyle w:val="Style14"/>
          <w:b/>
          <w:bCs/>
          <w:i w:val="false"/>
          <w:color w:val="212121"/>
        </w:rPr>
        <w:t>проведена масштабная работа</w:t>
      </w:r>
      <w:r>
        <w:rPr>
          <w:rStyle w:val="Style14"/>
          <w:i w:val="false"/>
          <w:color w:val="212121"/>
        </w:rPr>
        <w:t>: на местах созданы рабочие группы с участием региональных министерств социальной защиты населения, проанализирован перечень передаваемых мер, предварительно согласованы проекты типовых форм соглашений об информационном взаимодействии и реестров передачи сведений.</w:t>
      </w:r>
      <w:r>
        <w:rPr>
          <w:b/>
          <w:bCs/>
          <w:color w:val="000000"/>
          <w:lang w:eastAsia="en-US"/>
        </w:rPr>
        <w:t xml:space="preserve"> </w:t>
      </w:r>
      <w:r>
        <w:rPr>
          <w:bCs/>
          <w:iCs/>
          <w:color w:val="212121"/>
        </w:rPr>
        <w:t>Разработаны стандарты предоставления мер социальной защиты (поддержки) для специалистов клиентских служб ПФР на основе утвержд</w:t>
      </w:r>
      <w:r>
        <w:rPr>
          <w:bCs/>
          <w:iCs/>
          <w:color w:val="212121"/>
        </w:rPr>
        <w:t>ё</w:t>
      </w:r>
      <w:r>
        <w:rPr>
          <w:bCs/>
          <w:iCs/>
          <w:color w:val="212121"/>
        </w:rPr>
        <w:t>нных паспортов. Продуман в деталях путь гражданина в клиентской службе ПФР. Региональные органы</w:t>
      </w:r>
      <w:r>
        <w:rPr>
          <w:color w:val="212121"/>
        </w:rPr>
        <w:t xml:space="preserve"> соцзащиты предоставили в ПФР сведения о лицах, являющихся получателями передаваемых мер соцподдержки. </w:t>
      </w:r>
    </w:p>
    <w:p>
      <w:pPr>
        <w:pStyle w:val="Normal"/>
        <w:jc w:val="both"/>
        <w:rPr/>
      </w:pPr>
      <w:r>
        <w:rPr>
          <w:color w:val="212121"/>
        </w:rPr>
        <w:tab/>
      </w:r>
      <w:r>
        <w:rPr/>
        <w:t>Новые дополнительные функции и бюджетные полномочия Фонда по осуществлению ряда мер социальной поддержки</w:t>
      </w:r>
      <w:r>
        <w:rPr>
          <w:color w:val="212121"/>
        </w:rPr>
        <w:t xml:space="preserve"> позволят оптимизировать процессы осуществления социальных выплат. В результате в стране будет внедр</w:t>
      </w:r>
      <w:r>
        <w:rPr>
          <w:color w:val="212121"/>
        </w:rPr>
        <w:t>ё</w:t>
      </w:r>
      <w:r>
        <w:rPr>
          <w:color w:val="212121"/>
        </w:rPr>
        <w:t xml:space="preserve">н единообразный подход к реализации мер соцподдержки, что также позволит </w:t>
      </w:r>
      <w:r>
        <w:rPr>
          <w:b/>
          <w:color w:val="212121"/>
        </w:rPr>
        <w:t>повысить качество</w:t>
      </w:r>
      <w:r>
        <w:rPr>
          <w:color w:val="212121"/>
        </w:rPr>
        <w:t xml:space="preserve"> их предоставления.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212121"/>
          <w:sz w:val="24"/>
          <w:szCs w:val="24"/>
          <w:shd w:fill="FFFFFF" w:val="clear"/>
        </w:rPr>
        <w:tab/>
        <w:t>Получить ответы на вопросы об  отдельных мерах поддержки можно по телефону регионального контакт-центра ПФР для жителей г. Волгограда, г. Волжского и г. Камышина – 8 (8442) 96-09-09, либо по телефону клиентской службы Вашего района (https://pfr.gov.ru/branches/volgograd/info/~0/7465).</w:t>
      </w:r>
      <w:r>
        <w:rPr>
          <w:rFonts w:cs="Times New Roman" w:ascii="Times New Roman" w:hAnsi="Times New Roman"/>
          <w:color w:val="212121"/>
          <w:shd w:fill="FFFFFF" w:val="clear"/>
        </w:rPr>
        <w:b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Symbol">
    <w:charset w:val="01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hd w:fill="FFFFFF" w:val="clear"/>
        <w:szCs w:val="24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WW8Num2z0">
    <w:name w:val="WW8Num2z0"/>
    <w:qFormat/>
    <w:rPr>
      <w:rFonts w:ascii="Wingdings" w:hAnsi="Wingdings" w:cs="Wingdings"/>
      <w:sz w:val="24"/>
      <w:szCs w:val="24"/>
      <w:shd w:fill="FFFFFF" w:val="clear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28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hyperlink" Target="http://publication.pravo.gov.ru/Document/View/0001202112060053" TargetMode="External"/><Relationship Id="rId5" Type="http://schemas.openxmlformats.org/officeDocument/2006/relationships/hyperlink" Target="https://pfr.gov.ru/grazhdanam/mery_podderzhki/" TargetMode="External"/><Relationship Id="rId6" Type="http://schemas.openxmlformats.org/officeDocument/2006/relationships/hyperlink" Target="https://pfr.gov.ru/grazhdanam/mery_podderzhki" TargetMode="External"/><Relationship Id="rId7" Type="http://schemas.openxmlformats.org/officeDocument/2006/relationships/hyperlink" Target="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Application>LibreOffice/5.0.4.2$Windows_x86 LibreOffice_project/2b9802c1994aa0b7dc6079e128979269cf95bc78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2022-01-10T13:57:58Z</dcterms:modified>
  <cp:revision>123</cp:revision>
</cp:coreProperties>
</file>