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-1095375</wp:posOffset>
                </wp:positionH>
                <wp:positionV relativeFrom="paragraph">
                  <wp:posOffset>76200</wp:posOffset>
                </wp:positionV>
                <wp:extent cx="6666230" cy="190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76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6.3pt,5.35pt" to="438.5pt,6.7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Волгоградской области принято более 33 тысяч заявлений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новое пособие семьям с детьми от 8 до 17 лет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 мая Пенсионный фонд России начал при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заявлений на получение пособий для малообеспеченных семей с детьми от 8 до 17 лет.  В нашем регионе было принято 33 219 заявлений.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Практически 100% заявлений было направлено в ПФР дистанционно через портал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осуслуг.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рассмотрения заявления – 10 рабочих дней, но если для сбора данных требуется больше времени, срок рассмотрения заявления может быть продл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н. В таком случае пользователю прид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</w:rPr>
        <w:t>уведомление в личный кабинет на портале госуслуг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Пособие рассчитывается с 1 апреля независимо от последующего месяца подачи заявления. Так, семьям, которые обратились за выплатой в мае, начисление будет произведено за два месяца – апрель и май. Если родители подадут заявление в сентябре, то средства поступят сразу за полгода – апрель, май, июнь, июль, август и сентябрь.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Напомним: пособие на детей от 8 до 17 лет рассчитано на малообеспеченные семьи. Выплаты назначаются по итогам комплексной оценки нуждаемости: семьям, где среднедушевой доход меньше прожиточного минимума на человека, родители имеют заработок или объективные причины его отсутствия, а имущество семьи отвечает установленным требованиям.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С подробной информацией о новом пособии можно ознакомиться в специальном разделе </w:t>
      </w:r>
      <w:r>
        <w:rPr>
          <w:rFonts w:ascii="Times New Roman" w:hAnsi="Times New Roman"/>
          <w:sz w:val="28"/>
          <w:szCs w:val="28"/>
        </w:rPr>
        <w:t>на сайте Пенсионного фонда России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4">
        <w:r>
          <w:rPr>
            <w:rStyle w:val="Style11"/>
            <w:rFonts w:ascii="Times New Roman" w:hAnsi="Times New Roman"/>
            <w:sz w:val="28"/>
            <w:szCs w:val="28"/>
          </w:rPr>
          <w:t>https://pfr.gov.ru/grazhdanam/8_to_17_years</w:t>
        </w:r>
      </w:hyperlink>
      <w:r>
        <w:rPr>
          <w:rFonts w:ascii="Times New Roman" w:hAnsi="Times New Roman"/>
          <w:sz w:val="28"/>
          <w:szCs w:val="28"/>
        </w:rPr>
        <w:t>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hyperlink" Target="https://pfr.gov.ru/grazhdanam/8_to_17_years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Application>LibreOffice/5.0.4.2$Windows_x86 LibreOffice_project/2b9802c1994aa0b7dc6079e128979269cf95bc78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2022-05-04T15:09:35Z</dcterms:modified>
  <cp:revision>124</cp:revision>
</cp:coreProperties>
</file>