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/>
          <w:i w:val="false"/>
          <w:iCs w:val="false"/>
          <w:sz w:val="24"/>
          <w:szCs w:val="24"/>
        </w:rPr>
        <w:t>СОВЕТ ДЕПУТАТОВ  ГОРНОБАЛЫКЛЕЙСКОГО СЕЛЬСКОГО ПОСЕЛЕНИЯ  ДУБОВСКОГО МУНИЦИПАЛЬНОГО РАЙОНА ВОЛГОГРАДСКОЙ ОБЛАСТИ</w:t>
      </w:r>
    </w:p>
    <w:p>
      <w:pPr>
        <w:pStyle w:val="1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i/>
          <w:sz w:val="24"/>
          <w:szCs w:val="24"/>
        </w:rPr>
        <w:t xml:space="preserve">                                               </w:t>
      </w:r>
      <w:r>
        <w:rPr>
          <w:rFonts w:ascii="Arial" w:hAnsi="Arial"/>
          <w:b/>
          <w:i/>
          <w:sz w:val="24"/>
          <w:szCs w:val="24"/>
        </w:rPr>
        <w:t xml:space="preserve">                                        </w:t>
      </w:r>
    </w:p>
    <w:p>
      <w:pPr>
        <w:pStyle w:val="4"/>
        <w:spacing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Р Е Ш Е Н И Е   </w:t>
      </w:r>
      <w:r>
        <w:rPr>
          <w:rFonts w:ascii="Arial" w:hAnsi="Arial"/>
          <w:b w:val="false"/>
          <w:bCs w:val="false"/>
          <w:sz w:val="24"/>
          <w:szCs w:val="24"/>
        </w:rPr>
        <w:t>№  33/20</w:t>
      </w:r>
    </w:p>
    <w:p>
      <w:pPr>
        <w:pStyle w:val="4"/>
        <w:spacing w:before="0" w:after="0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4"/>
        <w:spacing w:before="0" w:after="0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4"/>
        <w:spacing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28.11.2019 г.                                                             с.Горный Балыклей </w:t>
      </w:r>
    </w:p>
    <w:p>
      <w:pPr>
        <w:pStyle w:val="12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12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12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«Об установлении налога на имущество физических лиц»</w:t>
      </w:r>
    </w:p>
    <w:p>
      <w:pPr>
        <w:pStyle w:val="12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в редакции решения Совета депутатов Горнобалыклейского сельского поселения №   34/21  от  05.12.2019 г.</w:t>
      </w:r>
    </w:p>
    <w:p>
      <w:pPr>
        <w:pStyle w:val="12"/>
        <w:jc w:val="left"/>
        <w:rPr>
          <w:b/>
          <w:b/>
          <w:bCs/>
          <w:i/>
          <w:i/>
          <w:iCs/>
        </w:rPr>
      </w:pPr>
      <w:r>
        <w:rPr>
          <w:rFonts w:ascii="Arial" w:hAnsi="Arial"/>
          <w:sz w:val="24"/>
          <w:szCs w:val="24"/>
        </w:rPr>
      </w:r>
    </w:p>
    <w:p>
      <w:pPr>
        <w:pStyle w:val="12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12"/>
        <w:ind w:firstLine="708"/>
        <w:jc w:val="both"/>
        <w:rPr/>
      </w:pPr>
      <w:r>
        <w:rPr>
          <w:rFonts w:ascii="Arial" w:hAnsi="Arial"/>
          <w:sz w:val="24"/>
          <w:szCs w:val="24"/>
        </w:rPr>
        <w:t>В соответствии со статьями 5, 12, 15 и главой 32 </w:t>
      </w:r>
      <w:hyperlink r:id="rId2" w:tgtFrame="_blank">
        <w:r>
          <w:rPr>
            <w:rStyle w:val="Style12"/>
            <w:rFonts w:ascii="Arial" w:hAnsi="Arial"/>
            <w:sz w:val="24"/>
            <w:szCs w:val="24"/>
          </w:rPr>
          <w:t>Налогового кодекса Российской Федерации</w:t>
        </w:r>
      </w:hyperlink>
      <w:r>
        <w:rPr>
          <w:rFonts w:ascii="Arial" w:hAnsi="Arial"/>
          <w:sz w:val="24"/>
          <w:szCs w:val="24"/>
        </w:rPr>
        <w:t>, Федеральным законом от 06.10.2003 N131-ФЗ «</w:t>
      </w:r>
      <w:hyperlink r:id="rId3" w:tgtFrame="_blank">
        <w:r>
          <w:rPr>
            <w:rStyle w:val="Style12"/>
            <w:rFonts w:ascii="Arial" w:hAnsi="Arial"/>
            <w:sz w:val="24"/>
            <w:szCs w:val="24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Arial" w:hAnsi="Arial"/>
          <w:sz w:val="24"/>
          <w:szCs w:val="24"/>
        </w:rPr>
        <w:t>», Уставом Горнобалыклейского</w:t>
      </w:r>
      <w:r>
        <w:rPr>
          <w:rFonts w:ascii="Arial" w:hAnsi="Arial"/>
          <w:color w:val="FF000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сельского поселения Дубовского</w:t>
      </w:r>
      <w:r>
        <w:rPr>
          <w:rFonts w:ascii="Arial" w:hAnsi="Arial"/>
          <w:color w:val="FF000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муниципального района Волгоградской области, Совет депутатов Горнобалыклейского</w:t>
      </w:r>
      <w:r>
        <w:rPr>
          <w:rFonts w:ascii="Arial" w:hAnsi="Arial"/>
          <w:color w:val="FF000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сельского поселения </w:t>
      </w:r>
      <w:r>
        <w:rPr>
          <w:rFonts w:ascii="Arial" w:hAnsi="Arial"/>
          <w:color w:val="000000"/>
          <w:sz w:val="24"/>
          <w:szCs w:val="24"/>
        </w:rPr>
        <w:t xml:space="preserve">Дубовского </w:t>
      </w:r>
      <w:r>
        <w:rPr>
          <w:rFonts w:ascii="Arial" w:hAnsi="Arial"/>
          <w:sz w:val="24"/>
          <w:szCs w:val="24"/>
        </w:rPr>
        <w:t>муниципального района Волгоградской области,</w:t>
      </w:r>
    </w:p>
    <w:p>
      <w:pPr>
        <w:pStyle w:val="12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РЕШИЛ:</w:t>
      </w:r>
    </w:p>
    <w:p>
      <w:pPr>
        <w:pStyle w:val="NormalWeb"/>
        <w:spacing w:beforeAutospacing="0" w:before="0" w:afterAutospacing="0" w:after="0"/>
        <w:ind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</w:t>
      </w:r>
      <w:r>
        <w:rPr>
          <w:rFonts w:ascii="Arial" w:hAnsi="Arial"/>
          <w:sz w:val="24"/>
          <w:szCs w:val="24"/>
        </w:rPr>
        <w:t>1. Установить и ввести в действие с 1 января 2020 года на территории</w:t>
      </w:r>
      <w:r>
        <w:rPr>
          <w:rFonts w:ascii="Arial" w:hAnsi="Arial"/>
          <w:color w:val="FF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Горнобалыклейского  </w:t>
      </w:r>
      <w:r>
        <w:rPr>
          <w:rFonts w:ascii="Arial" w:hAnsi="Arial"/>
          <w:sz w:val="24"/>
          <w:szCs w:val="24"/>
        </w:rPr>
        <w:t>сельского поселения налог на имущество физических лиц.</w:t>
      </w:r>
    </w:p>
    <w:p>
      <w:pPr>
        <w:pStyle w:val="NormalWeb"/>
        <w:spacing w:beforeAutospacing="0" w:before="0" w:afterAutospacing="0" w:after="0"/>
        <w:ind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</w:t>
      </w:r>
      <w:r>
        <w:rPr>
          <w:rFonts w:ascii="Arial" w:hAnsi="Arial"/>
          <w:sz w:val="24"/>
          <w:szCs w:val="24"/>
        </w:rPr>
        <w:t>2. Налоговая база в отношении объектов налогообложения определяется исходя из их кадастровой стоимости.</w:t>
      </w:r>
    </w:p>
    <w:p>
      <w:pPr>
        <w:pStyle w:val="NormalWeb"/>
        <w:spacing w:beforeAutospacing="0" w:before="0" w:afterAutospacing="0" w:after="0"/>
        <w:ind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</w:t>
      </w:r>
      <w:r>
        <w:rPr>
          <w:rFonts w:ascii="Arial" w:hAnsi="Arial"/>
          <w:sz w:val="24"/>
          <w:szCs w:val="24"/>
        </w:rPr>
        <w:t>3. Увеличить размеры налоговых вычетов, предусмотренных пунктом 6.1 статьи 403 Налогового кодекса Российской Федерации:</w:t>
      </w:r>
    </w:p>
    <w:p>
      <w:pPr>
        <w:pStyle w:val="Normal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- налоговая база в отношении квартиры, части квартиры, комнаты, жилого дома , части жилого дома, находящихся в собственности физических лиц, имеющих трех и более несовершеннолетних детей, уменьшается на величину кадастровой стоимости 10 квадратных метров общей площади квартиры, площади части квартиры, комнаты и 15 квадратных метров общей площади жилого дома, части жилого дома в расчете на каждого несовершеннолетнего ребенка.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4. Установить ставки налога на имущество физических лиц в следующих размерах: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349" w:type="dxa"/>
        <w:jc w:val="left"/>
        <w:tblInd w:w="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6707"/>
        <w:gridCol w:w="1939"/>
      </w:tblGrid>
      <w:tr>
        <w:trPr/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№ </w:t>
            </w:r>
            <w:r>
              <w:rPr>
                <w:rFonts w:ascii="Arial" w:hAnsi="Arial"/>
                <w:sz w:val="24"/>
                <w:szCs w:val="24"/>
              </w:rPr>
              <w:t>п/п</w:t>
            </w:r>
          </w:p>
        </w:tc>
        <w:tc>
          <w:tcPr>
            <w:tcW w:w="6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Объекты налогообложения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Ставка налога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8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жилые дома, части жилых домов, квартиры, части квартир, комнаты </w:t>
            </w:r>
            <w:r>
              <w:rPr>
                <w:rFonts w:ascii="Arial" w:hAnsi="Arial"/>
                <w:i/>
                <w:sz w:val="24"/>
                <w:szCs w:val="24"/>
              </w:rPr>
              <w:t>(в зависимости от кадастровой стоимости)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>до 1 000 000 рублей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 процента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>от 1 000 000 рублей до 5 000 000 рублей вклю</w:t>
            </w:r>
            <w:bookmarkStart w:id="0" w:name="_GoBack11"/>
            <w:bookmarkEnd w:id="0"/>
            <w:r>
              <w:rPr>
                <w:rFonts w:ascii="Arial" w:hAnsi="Arial"/>
                <w:i/>
                <w:sz w:val="24"/>
                <w:szCs w:val="24"/>
              </w:rPr>
              <w:t>чительно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0,2 процента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>свыше 5 000 000 рублей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 процента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1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объекты незавершенного строительства в случае, если проектируемым назначением таких объектов является жилой дом </w:t>
            </w:r>
            <w:r>
              <w:rPr>
                <w:rFonts w:ascii="Arial" w:hAnsi="Arial"/>
                <w:i/>
                <w:sz w:val="24"/>
                <w:szCs w:val="24"/>
              </w:rPr>
              <w:t>(в зависимости от кадастровой стоимости)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>до 1 000 000 рублей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 процента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>от 1 000 000 рублей до 5 000 000 рублей включительно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0,2 процента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>свыше 5 000 000 рублей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 процента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единые недвижимые комплексы, в состав которых входит хотя бы один жилой дом</w:t>
            </w:r>
            <w:r>
              <w:rPr>
                <w:rStyle w:val="11"/>
                <w:rFonts w:ascii="Arial" w:hAnsi="Arial"/>
                <w:i/>
                <w:sz w:val="24"/>
                <w:szCs w:val="24"/>
              </w:rPr>
              <w:t xml:space="preserve"> (в зависимости от кадастровой стоимости)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>до 5 000 000 рублей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0,2 процента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t>от 5 000 000 рублей и свыше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 процента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гаражи и машино-места, в том числе расположенные в объектах налогообложения, указанных в подпункте 2 пункта 2 статьи 406 Налогового кодекса Российской Федерации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 процента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                                                </w:t>
            </w:r>
          </w:p>
          <w:p>
            <w:pPr>
              <w:pStyle w:val="NormalWeb"/>
              <w:spacing w:beforeAutospacing="0" w:before="0" w:afterAutospacing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>
              <w:rPr>
                <w:rFonts w:ascii="Arial" w:hAnsi="Arial"/>
                <w:sz w:val="24"/>
                <w:szCs w:val="24"/>
              </w:rPr>
              <w:t>0.1 процента</w:t>
            </w:r>
          </w:p>
        </w:tc>
      </w:tr>
      <w:tr>
        <w:trPr/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6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 процента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объекты налогообложения, предусмотренные абзацем вторым пункта 10 статьи 378.2 Налогового кодекса Российской Федерации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 процента</w:t>
            </w:r>
          </w:p>
        </w:tc>
      </w:tr>
      <w:tr>
        <w:trPr/>
        <w:tc>
          <w:tcPr>
            <w:tcW w:w="70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6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 процента</w:t>
            </w:r>
          </w:p>
        </w:tc>
      </w:tr>
      <w:tr>
        <w:trPr/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6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0,5 процента</w:t>
            </w:r>
          </w:p>
        </w:tc>
      </w:tr>
    </w:tbl>
    <w:p>
      <w:pPr>
        <w:pStyle w:val="Normal"/>
        <w:ind w:hanging="0"/>
        <w:jc w:val="both"/>
        <w:rPr/>
      </w:pPr>
      <w:bookmarkStart w:id="1" w:name="Par5611"/>
      <w:bookmarkEnd w:id="1"/>
      <w:r>
        <w:rPr>
          <w:rFonts w:cs="Times New Roman" w:ascii="Arial" w:hAnsi="Arial"/>
          <w:sz w:val="24"/>
          <w:szCs w:val="24"/>
        </w:rPr>
        <w:t xml:space="preserve">        </w:t>
      </w:r>
    </w:p>
    <w:p>
      <w:pPr>
        <w:pStyle w:val="Normal"/>
        <w:ind w:hanging="0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 xml:space="preserve">5. </w:t>
      </w:r>
      <w:r>
        <w:rPr>
          <w:rStyle w:val="11"/>
          <w:rFonts w:ascii="Arial" w:hAnsi="Arial"/>
          <w:sz w:val="24"/>
          <w:szCs w:val="24"/>
        </w:rPr>
        <w:t>От уплаты налога на имущество физических лиц на период пребывания в организации, осуществляющей образовательную деятельность, независимо от форм собственности, а также на период службы в рядах Вооруженных Сил Российской Федерации освобождаются:</w:t>
      </w:r>
    </w:p>
    <w:p>
      <w:pPr>
        <w:pStyle w:val="12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дети-сироты;</w:t>
      </w:r>
    </w:p>
    <w:p>
      <w:pPr>
        <w:pStyle w:val="12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дети, оставшиеся без попечения родителей;</w:t>
      </w:r>
    </w:p>
    <w:p>
      <w:pPr>
        <w:pStyle w:val="12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лица из числа детей-сирот и детей, оставшихся без попечения родителей.</w:t>
      </w:r>
    </w:p>
    <w:p>
      <w:pPr>
        <w:pStyle w:val="Normal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Налоговая льгота предоставляется в отношении следующих видов объектов налогообложения:</w:t>
      </w:r>
    </w:p>
    <w:p>
      <w:pPr>
        <w:pStyle w:val="Normal"/>
        <w:ind w:firstLine="708"/>
        <w:jc w:val="both"/>
        <w:rPr>
          <w:rFonts w:cs="Times New Roman"/>
        </w:rPr>
      </w:pPr>
      <w:r>
        <w:rPr>
          <w:rFonts w:ascii="Arial" w:hAnsi="Arial"/>
          <w:sz w:val="24"/>
          <w:szCs w:val="24"/>
        </w:rPr>
      </w:r>
    </w:p>
    <w:tbl>
      <w:tblPr>
        <w:tblW w:w="9356" w:type="dxa"/>
        <w:jc w:val="left"/>
        <w:tblInd w:w="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56"/>
      </w:tblGrid>
      <w:tr>
        <w:trPr/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жилые дома, части жилых домов, квартиры, части квартир, комнаты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единые недвижимые комплексы, в состав которых входит хотя бы один жилой дом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гаражи и машино-места, в том числе расположенные в объектах налогообложения, указанных в подпункте 2 пункта 2 статьи 406 Налогового кодекса Российской Федерации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</w:tr>
    </w:tbl>
    <w:p>
      <w:pPr>
        <w:pStyle w:val="12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Налоговая льгота предоставляется:</w:t>
      </w:r>
    </w:p>
    <w:p>
      <w:pPr>
        <w:pStyle w:val="12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отношении одного объекта налогообложения каждого вида по выбору налогоплательщика;</w:t>
      </w:r>
    </w:p>
    <w:p>
      <w:pPr>
        <w:pStyle w:val="12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</w:t>
      </w:r>
    </w:p>
    <w:p>
      <w:pPr>
        <w:pStyle w:val="12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размере всей подлежащей уплате налогоплательщиком суммы налога в отношении объекта налогообложения.</w:t>
      </w:r>
    </w:p>
    <w:p>
      <w:pPr>
        <w:pStyle w:val="Normal"/>
        <w:ind w:firstLine="708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Физические лица, имеющие право на налоговые льготы, представляют в налоговый орган по своему выбору </w:t>
      </w:r>
      <w:hyperlink r:id="rId4">
        <w:r>
          <w:rPr>
            <w:rStyle w:val="Style12"/>
            <w:rFonts w:cs="Times New Roman" w:ascii="Arial" w:hAnsi="Arial"/>
            <w:sz w:val="24"/>
            <w:szCs w:val="24"/>
          </w:rPr>
          <w:t>заявление</w:t>
        </w:r>
      </w:hyperlink>
      <w:r>
        <w:rPr>
          <w:rFonts w:cs="Times New Roman" w:ascii="Arial" w:hAnsi="Arial"/>
          <w:sz w:val="24"/>
          <w:szCs w:val="24"/>
        </w:rPr>
        <w:t xml:space="preserve"> о предоставлении налоговой льготы, а также </w:t>
      </w:r>
      <w:hyperlink r:id="rId5">
        <w:r>
          <w:rPr>
            <w:rStyle w:val="Style12"/>
            <w:rFonts w:cs="Times New Roman" w:ascii="Arial" w:hAnsi="Arial"/>
            <w:sz w:val="24"/>
            <w:szCs w:val="24"/>
          </w:rPr>
          <w:t>документы</w:t>
        </w:r>
      </w:hyperlink>
      <w:r>
        <w:rPr>
          <w:rFonts w:cs="Times New Roman" w:ascii="Arial" w:hAnsi="Arial"/>
          <w:sz w:val="24"/>
          <w:szCs w:val="24"/>
        </w:rPr>
        <w:t>, подтверждающие право налогоплательщика на налоговую льготу.</w:t>
      </w:r>
    </w:p>
    <w:p>
      <w:pPr>
        <w:pStyle w:val="12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Основанием для освобождения от уплаты налога на имущество физических лиц для вышеуказанных лиц являются:</w:t>
      </w:r>
    </w:p>
    <w:p>
      <w:pPr>
        <w:pStyle w:val="12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а) один из документов, подтверждающих утрату гражданином в несовершеннолетнем возрасте родительского попечения, а именно:</w:t>
      </w:r>
    </w:p>
    <w:p>
      <w:pPr>
        <w:pStyle w:val="12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акт об оставлении ребенка;</w:t>
      </w:r>
    </w:p>
    <w:p>
      <w:pPr>
        <w:pStyle w:val="12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заявление родителей (матери ребенка) о согласии на его усыновление;</w:t>
      </w:r>
    </w:p>
    <w:p>
      <w:pPr>
        <w:pStyle w:val="12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решение суда о лишении родителей (родителя) родительских прав либо ограничении родителей (родителя) в родительских правах в отношении гражданина;</w:t>
      </w:r>
    </w:p>
    <w:p>
      <w:pPr>
        <w:pStyle w:val="12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свидетельства (свидетельство) о смерти родителей (родителя);</w:t>
      </w:r>
    </w:p>
    <w:p>
      <w:pPr>
        <w:pStyle w:val="12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решение суда о признании родителей (родителя) безвестно отсутствующими (отсутствующим);</w:t>
      </w:r>
    </w:p>
    <w:p>
      <w:pPr>
        <w:pStyle w:val="12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решение суда о признании родителей (родителя) недееспособными (недееспособным);</w:t>
      </w:r>
    </w:p>
    <w:p>
      <w:pPr>
        <w:pStyle w:val="12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справка органа записи актов гражданского состояния, подтверждающая, что сведения об отце внесены в запись акта о рождении ребенка по заявлению матери ребенка;</w:t>
      </w:r>
    </w:p>
    <w:p>
      <w:pPr>
        <w:pStyle w:val="12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акт органа опеки и попечительства об устройстве ребенка под надзор в организацию для детей-сирот и детей, оставшихся без попечения родителей, или под опеку (попечительство);</w:t>
      </w:r>
    </w:p>
    <w:p>
      <w:pPr>
        <w:pStyle w:val="12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б) документ, подтверждающий пребывание таких лиц в указанной организации или прохождение ими службы в рядах Вооруженных Сил Российской Федерации.</w:t>
      </w:r>
    </w:p>
    <w:p>
      <w:pPr>
        <w:pStyle w:val="Normal"/>
        <w:ind w:firstLine="708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</w:t>
      </w:r>
      <w:hyperlink r:id="rId6">
        <w:r>
          <w:rPr>
            <w:rStyle w:val="Style12"/>
            <w:rFonts w:cs="Times New Roman" w:ascii="Arial" w:hAnsi="Arial"/>
            <w:sz w:val="24"/>
            <w:szCs w:val="24"/>
          </w:rPr>
          <w:t>пунктом 3 статьи 361.1</w:t>
        </w:r>
      </w:hyperlink>
      <w:r>
        <w:rPr>
          <w:rFonts w:cs="Times New Roman" w:ascii="Arial" w:hAnsi="Arial"/>
          <w:sz w:val="24"/>
          <w:szCs w:val="24"/>
        </w:rPr>
        <w:t xml:space="preserve"> Налогового кодекса Российской Федерации.</w:t>
      </w:r>
    </w:p>
    <w:p>
      <w:pPr>
        <w:pStyle w:val="NormalWeb"/>
        <w:widowControl w:val="false"/>
        <w:spacing w:beforeAutospacing="0" w:before="0" w:afterAutospacing="0" w:after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 Налог на имущество физических лиц подлежит уплате налогоплательщиками в срок не позднее 1 декабря года, следующего за истекшим налоговым периодом.</w:t>
      </w:r>
    </w:p>
    <w:p>
      <w:pPr>
        <w:pStyle w:val="NormalWeb"/>
        <w:widowControl w:val="false"/>
        <w:spacing w:beforeAutospacing="0" w:before="0" w:afterAutospacing="0" w:after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Признать утратившим силу </w:t>
      </w:r>
      <w:r>
        <w:rPr>
          <w:rFonts w:ascii="Arial" w:hAnsi="Arial"/>
          <w:color w:val="000000"/>
          <w:sz w:val="24"/>
          <w:szCs w:val="24"/>
        </w:rPr>
        <w:t>Решение Совета депутатов Горнобалыклейского сельского поселения № 33/15  от 29.11.2018 «Об установлении налога на имущество физических лиц».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8. Настоящее решение вступает в силу с 1 января  2020 года, но не ранее одного месяца со дня его официального опубликования.</w:t>
      </w:r>
    </w:p>
    <w:p>
      <w:pPr>
        <w:pStyle w:val="1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12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Глава </w:t>
      </w:r>
    </w:p>
    <w:p>
      <w:pPr>
        <w:pStyle w:val="12"/>
        <w:jc w:val="left"/>
        <w:rPr>
          <w:rFonts w:ascii="Arial" w:hAnsi="Arial"/>
          <w:sz w:val="24"/>
          <w:szCs w:val="24"/>
        </w:rPr>
      </w:pPr>
      <w:bookmarkStart w:id="2" w:name="__DdeLink__506_122350225811"/>
      <w:r>
        <w:rPr>
          <w:rFonts w:ascii="Arial" w:hAnsi="Arial"/>
          <w:color w:val="000000"/>
          <w:sz w:val="24"/>
          <w:szCs w:val="24"/>
        </w:rPr>
        <w:t>Горнобалыклейского</w:t>
      </w:r>
      <w:r>
        <w:rPr>
          <w:rFonts w:ascii="Arial" w:hAnsi="Arial"/>
          <w:color w:val="FF000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сельского поселения  </w:t>
      </w:r>
      <w:bookmarkEnd w:id="2"/>
      <w:r>
        <w:rPr>
          <w:rFonts w:ascii="Arial" w:hAnsi="Arial"/>
          <w:sz w:val="24"/>
          <w:szCs w:val="24"/>
        </w:rPr>
        <w:t xml:space="preserve">         С.Н.Соловьев.                      </w:t>
      </w:r>
    </w:p>
    <w:p>
      <w:pPr>
        <w:pStyle w:val="1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12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Председатель </w:t>
      </w:r>
    </w:p>
    <w:p>
      <w:pPr>
        <w:pStyle w:val="12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ru-RU"/>
        </w:rPr>
        <w:t>С</w:t>
      </w:r>
      <w:r>
        <w:rPr>
          <w:rFonts w:ascii="Arial" w:hAnsi="Arial"/>
          <w:sz w:val="24"/>
          <w:szCs w:val="24"/>
        </w:rPr>
        <w:t xml:space="preserve">овета депутатов </w:t>
      </w:r>
    </w:p>
    <w:p>
      <w:pPr>
        <w:pStyle w:val="12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Горнобалыклейского</w:t>
      </w:r>
      <w:r>
        <w:rPr>
          <w:rFonts w:ascii="Arial" w:hAnsi="Arial"/>
          <w:color w:val="FF000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сельского поселения                     </w:t>
      </w:r>
      <w:r>
        <w:rPr>
          <w:rFonts w:ascii="Arial" w:hAnsi="Arial"/>
          <w:sz w:val="24"/>
          <w:szCs w:val="24"/>
          <w:lang w:val="ru-RU"/>
        </w:rPr>
        <w:t xml:space="preserve">В.М.Белкина </w:t>
      </w:r>
    </w:p>
    <w:p>
      <w:pPr>
        <w:pStyle w:val="1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1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1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1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1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1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1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1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1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1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1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1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1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1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1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1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1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1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1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1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1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1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ymbo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4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Calibri" w:hAnsi="Calibri" w:eastAsia="宋体" w:cs="" w:asciiTheme="minorHAnsi" w:cstheme="minorBidi" w:eastAsiaTheme="minorEastAsia" w:hAnsiTheme="minorHAnsi"/>
      <w:color w:val="00000A"/>
      <w:kern w:val="0"/>
      <w:sz w:val="20"/>
      <w:szCs w:val="20"/>
      <w:lang w:val="en-US" w:eastAsia="zh-CN" w:bidi="ar-SA"/>
    </w:rPr>
  </w:style>
  <w:style w:type="paragraph" w:styleId="1">
    <w:name w:val="Heading 1"/>
    <w:basedOn w:val="Normal"/>
    <w:qFormat/>
    <w:pPr>
      <w:keepNext w:val="true"/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paragraph" w:styleId="4">
    <w:name w:val="Heading 4"/>
    <w:basedOn w:val="Normal"/>
    <w:qFormat/>
    <w:pPr>
      <w:keepNext w:val="true"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WW8Num1z0">
    <w:name w:val="WW8Num1z0"/>
    <w:qFormat/>
    <w:rPr>
      <w:sz w:val="28"/>
      <w:szCs w:val="28"/>
    </w:rPr>
  </w:style>
  <w:style w:type="character" w:styleId="WW8Num2z0">
    <w:name w:val="WW8Num2z0"/>
    <w:qFormat/>
    <w:rPr>
      <w:b/>
      <w:i/>
      <w:sz w:val="28"/>
      <w:szCs w:val="28"/>
    </w:rPr>
  </w:style>
  <w:style w:type="character" w:styleId="Style13">
    <w:name w:val="Символ сноски"/>
    <w:qFormat/>
    <w:rPr/>
  </w:style>
  <w:style w:type="character" w:styleId="WW8Num7z0">
    <w:name w:val="WW8Num7z0"/>
    <w:qFormat/>
    <w:rPr>
      <w:sz w:val="28"/>
      <w:szCs w:val="28"/>
    </w:rPr>
  </w:style>
  <w:style w:type="character" w:styleId="WW8Num3z0">
    <w:name w:val="WW8Num3z0"/>
    <w:qFormat/>
    <w:rPr>
      <w:rFonts w:ascii="Symbol" w:hAnsi="Symbol" w:cs="Symbol"/>
      <w:sz w:val="28"/>
      <w:szCs w:val="28"/>
    </w:rPr>
  </w:style>
  <w:style w:type="character" w:styleId="WW8Num4z0">
    <w:name w:val="WW8Num4z0"/>
    <w:qFormat/>
    <w:rPr/>
  </w:style>
  <w:style w:type="character" w:styleId="WW8Num6z0">
    <w:name w:val="WW8Num6z0"/>
    <w:qFormat/>
    <w:rPr>
      <w:rFonts w:ascii="Symbol" w:hAnsi="Symbol" w:cs="Symbol"/>
      <w:sz w:val="28"/>
      <w:szCs w:val="28"/>
    </w:rPr>
  </w:style>
  <w:style w:type="character" w:styleId="WW8Num5z0">
    <w:name w:val="WW8Num5z0"/>
    <w:qFormat/>
    <w:rPr>
      <w:sz w:val="28"/>
      <w:szCs w:val="28"/>
    </w:rPr>
  </w:style>
  <w:style w:type="character" w:styleId="ListLabel1">
    <w:name w:val="ListLabel 1"/>
    <w:qFormat/>
    <w:rPr>
      <w:rFonts w:ascii="Times New Roman" w:hAnsi="Times New Roman"/>
      <w:sz w:val="24"/>
      <w:szCs w:val="28"/>
    </w:rPr>
  </w:style>
  <w:style w:type="character" w:styleId="ListLabel2">
    <w:name w:val="ListLabel 2"/>
    <w:qFormat/>
    <w:rPr>
      <w:rFonts w:ascii="Times New Roman" w:hAnsi="Times New Roman"/>
      <w:b/>
      <w:i/>
      <w:sz w:val="24"/>
      <w:szCs w:val="28"/>
    </w:rPr>
  </w:style>
  <w:style w:type="character" w:styleId="ListLabel3">
    <w:name w:val="ListLabel 3"/>
    <w:qFormat/>
    <w:rPr>
      <w:rFonts w:ascii="Times New Roman" w:hAnsi="Times New Roman"/>
      <w:sz w:val="24"/>
      <w:szCs w:val="28"/>
    </w:rPr>
  </w:style>
  <w:style w:type="character" w:styleId="ListLabel4">
    <w:name w:val="ListLabel 4"/>
    <w:qFormat/>
    <w:rPr>
      <w:rFonts w:ascii="Times New Roman" w:hAnsi="Times New Roman" w:cs="Symbol"/>
      <w:sz w:val="24"/>
      <w:szCs w:val="28"/>
    </w:rPr>
  </w:style>
  <w:style w:type="character" w:styleId="ListLabel5">
    <w:name w:val="ListLabel 5"/>
    <w:qFormat/>
    <w:rPr>
      <w:rFonts w:ascii="Times New Roman" w:hAnsi="Times New Roman" w:cs="Symbol"/>
      <w:sz w:val="24"/>
      <w:szCs w:val="28"/>
    </w:rPr>
  </w:style>
  <w:style w:type="character" w:styleId="ListLabel6">
    <w:name w:val="ListLabel 6"/>
    <w:qFormat/>
    <w:rPr>
      <w:rFonts w:ascii="Times New Roman" w:hAnsi="Times New Roman"/>
      <w:sz w:val="24"/>
      <w:szCs w:val="28"/>
    </w:rPr>
  </w:style>
  <w:style w:type="character" w:styleId="Style14">
    <w:name w:val="Посещённая гиперссылка"/>
    <w:rPr>
      <w:color w:val="800000"/>
      <w:u w:val="single"/>
      <w:lang w:val="zxx" w:eastAsia="zxx" w:bidi="zxx"/>
    </w:rPr>
  </w:style>
  <w:style w:type="character" w:styleId="11">
    <w:name w:val="Стиль1 Знак"/>
    <w:basedOn w:val="DefaultParagraphFont"/>
    <w:qFormat/>
    <w:rPr>
      <w:rFonts w:ascii="Times New Roman" w:hAnsi="Times New Roman" w:eastAsia="宋体" w:cs="Times New Roman" w:eastAsiaTheme="minorEastAsia"/>
      <w:sz w:val="28"/>
      <w:szCs w:val="2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32">
    <w:name w:val="normal32"/>
    <w:basedOn w:val="Normal"/>
    <w:qFormat/>
    <w:pPr>
      <w:spacing w:lineRule="auto" w:line="240" w:before="0" w:after="0"/>
      <w:jc w:val="center"/>
    </w:pPr>
    <w:rPr>
      <w:rFonts w:ascii="Arial" w:hAnsi="Arial" w:cs="Arial"/>
      <w:sz w:val="34"/>
      <w:szCs w:val="34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>
    <w:name w:val="Стиль1"/>
    <w:basedOn w:val="Normal"/>
    <w:qFormat/>
    <w:pPr/>
    <w:rPr>
      <w:rFonts w:ascii="Times New Roman" w:hAnsi="Times New Roman" w:eastAsia="宋体" w:cs="Times New Roman" w:eastAsiaTheme="minorEastAsia"/>
      <w:sz w:val="28"/>
      <w:szCs w:val="28"/>
      <w:lang w:eastAsia="ru-RU"/>
    </w:rPr>
  </w:style>
  <w:style w:type="paragraph" w:styleId="2">
    <w:name w:val="Стиль2"/>
    <w:basedOn w:val="Normal"/>
    <w:qFormat/>
    <w:pPr>
      <w:jc w:val="both"/>
    </w:pPr>
    <w:rPr>
      <w:rFonts w:ascii="Times New Roman" w:hAnsi="Times New Roman" w:cs="Times New Roman"/>
      <w:sz w:val="28"/>
      <w:szCs w:val="2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7">
    <w:name w:val="WW8Num7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6">
    <w:name w:val="WW8Num6"/>
    <w:qFormat/>
  </w:style>
  <w:style w:type="numbering" w:styleId="WW8Num5">
    <w:name w:val="WW8Num5"/>
    <w:qFormat/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minjust.ru:8080/bigs/showDocument.html?id=F7DE1846-3C6A-47AB-B440-B8E4CEA90C68" TargetMode="External"/><Relationship Id="rId3" Type="http://schemas.openxmlformats.org/officeDocument/2006/relationships/hyperlink" Target="http://pravo.minjust.ru:8080/bigs/showDocument.html?id=96E20C02-1B12-465A-B64C-24AA92270007" TargetMode="External"/><Relationship Id="rId4" Type="http://schemas.openxmlformats.org/officeDocument/2006/relationships/hyperlink" Target="consultantplus://offline/ref=939B29C29A502A16FC028FAD5B437411F9CE5E2F73E5E37E04F77C018DDC10E52BC902DF74AFABBC571C85CB50CA05909DFDE3461868EA6DD1c7M" TargetMode="External"/><Relationship Id="rId5" Type="http://schemas.openxmlformats.org/officeDocument/2006/relationships/hyperlink" Target="consultantplus://offline/ref=939B29C29A502A16FC028FAD5B437411F9CE5C267BE1E37E04F77C018DDC10E52BC902DF74AFABBE551C85CB50CA05909DFDE3461868EA6DD1c7M" TargetMode="External"/><Relationship Id="rId6" Type="http://schemas.openxmlformats.org/officeDocument/2006/relationships/hyperlink" Target="consultantplus://offline/ref=939B29C29A502A16FC028FAD5B437411F8C45B2372E4E37E04F77C018DDC10E52BC902DF70ACA3BF5D4380DE419208998AE2E258046AEBD6c5M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Application>LibreOffice/5.4.4.2$Windows_x86 LibreOffice_project/2524958677847fb3bb44820e40380acbe820f960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2019-08-13T04:54:00Z</dcterms:created>
  <dc:creator>1</dc:creator>
  <dc:description/>
  <dc:language>ru-RU</dc:language>
  <cp:lastModifiedBy/>
  <cp:lastPrinted>2019-12-03T09:09:17Z</cp:lastPrinted>
  <dcterms:modified xsi:type="dcterms:W3CDTF">2019-12-06T15:42:56Z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1049-11.2.0.8893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