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4911AC" w:rsidRPr="004911AC" w:rsidRDefault="004911AC" w:rsidP="00491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11AC">
        <w:rPr>
          <w:rFonts w:ascii="Times New Roman" w:hAnsi="Times New Roman" w:cs="Times New Roman"/>
          <w:b/>
          <w:sz w:val="28"/>
          <w:szCs w:val="28"/>
        </w:rPr>
        <w:t>Электронные закладные - скорость, сохранность и удобство</w:t>
      </w:r>
    </w:p>
    <w:bookmarkEnd w:id="0"/>
    <w:p w:rsidR="004911AC" w:rsidRPr="004911AC" w:rsidRDefault="004911AC" w:rsidP="004911AC">
      <w:pPr>
        <w:jc w:val="both"/>
        <w:rPr>
          <w:rFonts w:ascii="Times New Roman" w:hAnsi="Times New Roman" w:cs="Times New Roman"/>
          <w:b/>
          <w:sz w:val="32"/>
        </w:rPr>
      </w:pPr>
    </w:p>
    <w:p w:rsidR="004911AC" w:rsidRDefault="004911AC" w:rsidP="00491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AC">
        <w:rPr>
          <w:rFonts w:ascii="Times New Roman" w:hAnsi="Times New Roman" w:cs="Times New Roman"/>
          <w:sz w:val="28"/>
          <w:szCs w:val="28"/>
        </w:rPr>
        <w:t>Закладная – это ценная бумага, которая подтверждает, что на время ипотеки банк получает недвижимость в залог. В настоящее время в Российской Федерации в обороте находятся документарные и электронные закладные.</w:t>
      </w:r>
    </w:p>
    <w:p w:rsidR="004911AC" w:rsidRPr="004911AC" w:rsidRDefault="004911AC" w:rsidP="00491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1AC" w:rsidRPr="004911AC" w:rsidRDefault="004911AC" w:rsidP="00491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AC">
        <w:rPr>
          <w:rFonts w:ascii="Times New Roman" w:hAnsi="Times New Roman" w:cs="Times New Roman"/>
          <w:sz w:val="28"/>
          <w:szCs w:val="28"/>
        </w:rPr>
        <w:t>В условиях цифровизации и электронного взаимодействия переход кредитных организаций, предоставляющих услугу по ипотечному кредитованию при приобретении объектов недвижимости, к использованию электронных закладных приобретает особую актуальность.</w:t>
      </w:r>
    </w:p>
    <w:p w:rsidR="004911AC" w:rsidRPr="004911AC" w:rsidRDefault="004911AC" w:rsidP="00491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1AC" w:rsidRPr="004911AC" w:rsidRDefault="004911AC" w:rsidP="00491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AC">
        <w:rPr>
          <w:rFonts w:ascii="Times New Roman" w:hAnsi="Times New Roman" w:cs="Times New Roman"/>
          <w:b/>
          <w:sz w:val="28"/>
          <w:szCs w:val="28"/>
        </w:rPr>
        <w:t>Особенности электронной закладной</w:t>
      </w:r>
      <w:r w:rsidRPr="004911AC">
        <w:rPr>
          <w:rFonts w:ascii="Times New Roman" w:hAnsi="Times New Roman" w:cs="Times New Roman"/>
          <w:sz w:val="28"/>
          <w:szCs w:val="28"/>
        </w:rPr>
        <w:t>.</w:t>
      </w:r>
    </w:p>
    <w:p w:rsidR="004911AC" w:rsidRPr="004911AC" w:rsidRDefault="004911AC" w:rsidP="00491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AC">
        <w:rPr>
          <w:rFonts w:ascii="Times New Roman" w:hAnsi="Times New Roman" w:cs="Times New Roman"/>
          <w:sz w:val="28"/>
          <w:szCs w:val="28"/>
        </w:rPr>
        <w:t xml:space="preserve">Электронная закладная дает банку и заемщику те же права и обязанности, что и бумажная. Если заемщик не выплатит ипотеку в срок, то банк сможет изъять и продать квартиру, чтобы вернуть свои деньги. Главное отличие бумажной и электронной закладной – в их форме. Электронную закладную не нужно распечатывать. Она заполняется и хранится в виде файла. Подписывается такой документ электронной подписью. Электронные закладные хранятся в депозитарии. Электронные закладные введены в оборот в 2018. </w:t>
      </w:r>
    </w:p>
    <w:p w:rsidR="004911AC" w:rsidRPr="004911AC" w:rsidRDefault="004911AC" w:rsidP="00491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1AC" w:rsidRPr="004911AC" w:rsidRDefault="004911AC" w:rsidP="004911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AC">
        <w:rPr>
          <w:rFonts w:ascii="Times New Roman" w:hAnsi="Times New Roman" w:cs="Times New Roman"/>
          <w:b/>
          <w:sz w:val="28"/>
          <w:szCs w:val="28"/>
        </w:rPr>
        <w:t>Преимущества электронной закладной.</w:t>
      </w:r>
    </w:p>
    <w:p w:rsidR="004911AC" w:rsidRPr="004911AC" w:rsidRDefault="004911AC" w:rsidP="00491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AC">
        <w:rPr>
          <w:rFonts w:ascii="Times New Roman" w:hAnsi="Times New Roman" w:cs="Times New Roman"/>
          <w:sz w:val="28"/>
          <w:szCs w:val="28"/>
        </w:rPr>
        <w:t xml:space="preserve">СКОРОСТЬ ОФОРМЛЕНИЯ. Формировать электронную закладную быстрее, чем бумажную. Банки заполняют уже готовую форму документа. Для регистрации закладной отсутствует необходимость обращения в МФЦ. Банки используют собственные системы дистанционного обслуживания. </w:t>
      </w:r>
    </w:p>
    <w:p w:rsidR="004911AC" w:rsidRPr="004911AC" w:rsidRDefault="004911AC" w:rsidP="00491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1AC" w:rsidRPr="004911AC" w:rsidRDefault="004911AC" w:rsidP="00491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AC">
        <w:rPr>
          <w:rFonts w:ascii="Times New Roman" w:hAnsi="Times New Roman" w:cs="Times New Roman"/>
          <w:sz w:val="28"/>
          <w:szCs w:val="28"/>
        </w:rPr>
        <w:lastRenderedPageBreak/>
        <w:t>СКОРОСТЬ ПОЛУЧЕНИЯ. Получать электронную закладную быстрее, чем бумажную. Так, документ может понадобиться при рефинансировании кредита. Чаще всего банки хранят бумажные закладные самостоятельно. Выдачей закладных оперативно занимается Росреестр онлайн.</w:t>
      </w:r>
    </w:p>
    <w:p w:rsidR="004911AC" w:rsidRPr="004911AC" w:rsidRDefault="004911AC" w:rsidP="00491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1AC" w:rsidRPr="004911AC" w:rsidRDefault="004911AC" w:rsidP="00491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AC">
        <w:rPr>
          <w:rFonts w:ascii="Times New Roman" w:hAnsi="Times New Roman" w:cs="Times New Roman"/>
          <w:sz w:val="28"/>
          <w:szCs w:val="28"/>
        </w:rPr>
        <w:t xml:space="preserve">СОХРАННОСТЬ. Бумажную закладную можно потерять или намеренно уничтожить. Она может сгореть в пожаре и на восстановление документа уйдет много времени и сил. С электронной закладной такого не случиться. Она хранится в депозитарии на защищенных серверах, и Росреестр следит за каждым ее перемещением. </w:t>
      </w:r>
    </w:p>
    <w:p w:rsidR="004911AC" w:rsidRPr="004911AC" w:rsidRDefault="004911AC" w:rsidP="00491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1AC" w:rsidRPr="004911AC" w:rsidRDefault="004911AC" w:rsidP="00491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AC">
        <w:rPr>
          <w:rFonts w:ascii="Times New Roman" w:hAnsi="Times New Roman" w:cs="Times New Roman"/>
          <w:sz w:val="28"/>
          <w:szCs w:val="28"/>
        </w:rPr>
        <w:t>Управлением Росреестра по Волгоградской области проведен анализ рынка закладных. Установлено, что ведущие кредитные организации (ПАО СБЕРБАНК, ПАО ВТБ) в основной своей массе перешли 100% на электронные закладные. Поступающие на государственную регистрацию закладные – 5% бумажный вид, 95% - электронный вид.</w:t>
      </w:r>
    </w:p>
    <w:p w:rsidR="004911AC" w:rsidRPr="004911AC" w:rsidRDefault="004911AC" w:rsidP="00491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1AC" w:rsidRPr="004911AC" w:rsidRDefault="004911AC" w:rsidP="00491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AC">
        <w:rPr>
          <w:rFonts w:ascii="Times New Roman" w:hAnsi="Times New Roman" w:cs="Times New Roman"/>
          <w:i/>
          <w:sz w:val="28"/>
          <w:szCs w:val="28"/>
        </w:rPr>
        <w:t>«В настоящее время Управлением совместно с Банками ведется работа с заемщиками по разъяснению возможности замены бумажных закладных на электронные»</w:t>
      </w:r>
      <w:r w:rsidRPr="004911AC">
        <w:rPr>
          <w:rFonts w:ascii="Times New Roman" w:hAnsi="Times New Roman" w:cs="Times New Roman"/>
          <w:sz w:val="28"/>
          <w:szCs w:val="28"/>
        </w:rPr>
        <w:t xml:space="preserve">, - сообщила </w:t>
      </w:r>
      <w:r w:rsidRPr="004911AC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4911AC"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Управления. </w:t>
      </w:r>
    </w:p>
    <w:p w:rsidR="004911AC" w:rsidRDefault="004911AC" w:rsidP="004911AC">
      <w:pPr>
        <w:jc w:val="both"/>
        <w:rPr>
          <w:sz w:val="28"/>
          <w:szCs w:val="28"/>
        </w:rPr>
      </w:pPr>
    </w:p>
    <w:p w:rsidR="004911AC" w:rsidRPr="00CB58D6" w:rsidRDefault="004911AC" w:rsidP="004911AC">
      <w:pPr>
        <w:ind w:firstLine="708"/>
      </w:pPr>
    </w:p>
    <w:p w:rsidR="00691215" w:rsidRDefault="00691215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5DEE" w:rsidRPr="00655FED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2023-06-20T07:14:00Z</dcterms:created>
  <dcterms:modified xsi:type="dcterms:W3CDTF">2023-06-20T07:14:00Z</dcterms:modified>
</cp:coreProperties>
</file>