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/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cs="Times New Roman" w:ascii="Liberation Sans" w:hAnsi="Liberation Sans"/>
          <w:b/>
          <w:bCs/>
          <w:sz w:val="26"/>
          <w:szCs w:val="26"/>
        </w:rPr>
        <w:t>Волгоградск</w:t>
      </w:r>
      <w:r>
        <w:rPr>
          <w:rFonts w:cs="Times New Roman" w:ascii="Liberation Sans" w:hAnsi="Liberation Sans"/>
          <w:b/>
          <w:bCs/>
          <w:sz w:val="26"/>
          <w:szCs w:val="26"/>
        </w:rPr>
        <w:t>ий</w:t>
      </w:r>
      <w:r>
        <w:rPr>
          <w:rFonts w:cs="Times New Roman" w:ascii="Liberation Sans" w:hAnsi="Liberation Sans"/>
          <w:b/>
          <w:bCs/>
          <w:sz w:val="26"/>
          <w:szCs w:val="26"/>
        </w:rPr>
        <w:t xml:space="preserve"> Социальн</w:t>
      </w:r>
      <w:r>
        <w:rPr>
          <w:rFonts w:cs="Times New Roman" w:ascii="Liberation Sans" w:hAnsi="Liberation Sans"/>
          <w:b/>
          <w:bCs/>
          <w:sz w:val="26"/>
          <w:szCs w:val="26"/>
        </w:rPr>
        <w:t>ый</w:t>
      </w:r>
      <w:r>
        <w:rPr>
          <w:rFonts w:cs="Times New Roman" w:ascii="Liberation Sans" w:hAnsi="Liberation Sans"/>
          <w:b/>
          <w:bCs/>
          <w:sz w:val="26"/>
          <w:szCs w:val="26"/>
        </w:rPr>
        <w:t xml:space="preserve"> фонд и региональный Союз пенсионеров договорились о новых проектах по улучшению жизни людей старшего возраста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>
          <w:rFonts w:cs="Times New Roman" w:ascii="Liberation Sans" w:hAnsi="Liberation Sans"/>
          <w:b w:val="false"/>
          <w:bCs w:val="false"/>
          <w:sz w:val="26"/>
          <w:szCs w:val="26"/>
        </w:rPr>
        <w:tab/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Отделение Социального фонда России </w:t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по Волгоградской области </w:t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и Союз пенсионеров России заключили соглашение о взаимодействии. Соответствующий документ управляющий </w:t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областным </w:t>
      </w: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ОСФР Владимир Федоров и руководитель СПР по региону Виктор Подлесных подписали 14 апреля.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 xml:space="preserve">По словам Владимира Федорова, сотрудничество фонда с Союзом пенсионеров опирается на многолетнюю плодотворную практику и заключенное соглашение станет новым этапом в развитии взаимодействия. У нас общая цель – повысить качество жизни людей, создать условия для активной жизни в обществе и комфортного получения государственных услуг. Для этого СФР с Союзом пенсионеров наметили провести много полезных мероприятий. 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Соглашение предусматривает взаимодействие сторон в сфере пенсионного и социального обеспечения, обязательного пенсионного страхования россиян. Совместная работа будет включать информационные кампании и образовательные мероприятия о пенсионных правах, способах получения госуслуг по линии СФР, правилах назначения пенсий и пособий и др.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Кроме того, сотрудники Социального фонда будут, как и прежде, содействовать Союзу пенсионеров в обучении людей «серебряного» возраста компьютерной грамотности и пользованию смартфонами при работе в интернете. Особый акцент на таких занятиях будет сделан на функционале портала госуслуг и финансовой безопасности.</w:t>
      </w:r>
    </w:p>
    <w:p>
      <w:pPr>
        <w:pStyle w:val="Normal"/>
        <w:jc w:val="both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Союз пенсионеров планирует активно участвовать в деятельности Центров общения старшего поколения, которые созданы на базе отделений СФР по всей стране. Работа центров посвящена продвижению концепции активного долголетия: здесь проходят различные курсы и тренинги, лекции о здоровом образе жизни, творческие мастер-классы, спортивные турниры, патриотические акции и многое другое.</w:t>
      </w:r>
    </w:p>
    <w:p>
      <w:pPr>
        <w:pStyle w:val="Normal"/>
        <w:spacing w:before="0" w:after="200"/>
        <w:jc w:val="both"/>
        <w:rPr>
          <w:rFonts w:ascii="Liberation Sans" w:hAnsi="Liberation Sans"/>
          <w:b w:val="false"/>
          <w:b w:val="false"/>
          <w:bCs w:val="false"/>
          <w:sz w:val="24"/>
          <w:szCs w:val="24"/>
        </w:rPr>
      </w:pPr>
      <w:r>
        <w:rPr>
          <w:rFonts w:cs="Times New Roman" w:ascii="Liberation Sans" w:hAnsi="Liberation Sans"/>
          <w:b w:val="false"/>
          <w:bCs w:val="false"/>
          <w:sz w:val="24"/>
          <w:szCs w:val="24"/>
        </w:rPr>
        <w:t>Социальный фонд также будет помогать с подготовкой ответов на обращения граждан по вопросам пенсионного и социального обеспечения, которые поступают в отделения Союза пенсионеров России.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2023-04-17T10:40:49Z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