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000B9" w:rsidRPr="005000B9" w:rsidRDefault="005000B9" w:rsidP="005000B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00B9">
        <w:rPr>
          <w:rFonts w:ascii="Times New Roman" w:hAnsi="Times New Roman" w:cs="Times New Roman"/>
          <w:b/>
          <w:sz w:val="28"/>
          <w:szCs w:val="28"/>
        </w:rPr>
        <w:t>Реестр границ населенных пунктов Волгоградской области пополняется</w:t>
      </w:r>
      <w:bookmarkEnd w:id="0"/>
    </w:p>
    <w:p w:rsidR="005000B9" w:rsidRPr="005000B9" w:rsidRDefault="005000B9" w:rsidP="005000B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00B9" w:rsidRPr="005000B9" w:rsidRDefault="005000B9" w:rsidP="005000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00B9">
        <w:rPr>
          <w:rFonts w:ascii="Times New Roman" w:hAnsi="Times New Roman" w:cs="Times New Roman"/>
          <w:sz w:val="28"/>
          <w:szCs w:val="28"/>
        </w:rPr>
        <w:t>«</w:t>
      </w:r>
      <w:r w:rsidRPr="005000B9">
        <w:rPr>
          <w:rFonts w:ascii="Times New Roman" w:hAnsi="Times New Roman" w:cs="Times New Roman"/>
          <w:i/>
          <w:sz w:val="28"/>
          <w:szCs w:val="28"/>
        </w:rPr>
        <w:t>В</w:t>
      </w:r>
      <w:r w:rsidRPr="005000B9">
        <w:rPr>
          <w:rFonts w:ascii="Times New Roman" w:hAnsi="Times New Roman" w:cs="Times New Roman"/>
          <w:i/>
          <w:sz w:val="28"/>
        </w:rPr>
        <w:t xml:space="preserve">несение в </w:t>
      </w:r>
      <w:r w:rsidRPr="005000B9">
        <w:rPr>
          <w:rFonts w:ascii="Times New Roman" w:hAnsi="Times New Roman" w:cs="Times New Roman"/>
          <w:i/>
          <w:sz w:val="28"/>
          <w:szCs w:val="28"/>
        </w:rPr>
        <w:t xml:space="preserve">Единый государственный реестр недвижимости (ЕГРН) </w:t>
      </w:r>
      <w:r w:rsidRPr="005000B9">
        <w:rPr>
          <w:rFonts w:ascii="Times New Roman" w:hAnsi="Times New Roman" w:cs="Times New Roman"/>
          <w:i/>
          <w:sz w:val="28"/>
        </w:rPr>
        <w:t xml:space="preserve">сведений о местоположении границ населенных пунктов, утвержденных </w:t>
      </w:r>
      <w:r w:rsidRPr="005000B9">
        <w:rPr>
          <w:rFonts w:ascii="Times New Roman" w:hAnsi="Times New Roman" w:cs="Times New Roman"/>
          <w:i/>
          <w:sz w:val="28"/>
          <w:szCs w:val="28"/>
        </w:rPr>
        <w:t>генеральными планами, является одним из приоритетных направлений проекта по наполнению ЕГРН необходимыми сведениями, что позволяет обеспечить соблюдение требований законодательства</w:t>
      </w:r>
      <w:r w:rsidRPr="005000B9">
        <w:rPr>
          <w:rFonts w:ascii="Times New Roman" w:hAnsi="Times New Roman" w:cs="Times New Roman"/>
          <w:i/>
          <w:sz w:val="28"/>
        </w:rPr>
        <w:t xml:space="preserve"> </w:t>
      </w:r>
      <w:r w:rsidRPr="005000B9">
        <w:rPr>
          <w:rFonts w:ascii="Times New Roman" w:hAnsi="Times New Roman" w:cs="Times New Roman"/>
          <w:i/>
          <w:sz w:val="28"/>
          <w:szCs w:val="28"/>
        </w:rPr>
        <w:t>при проведении кадастрового учета объектов недвижимости,</w:t>
      </w:r>
      <w:r w:rsidRPr="005000B9">
        <w:rPr>
          <w:rFonts w:ascii="Times New Roman" w:hAnsi="Times New Roman" w:cs="Times New Roman"/>
          <w:i/>
          <w:sz w:val="28"/>
        </w:rPr>
        <w:t xml:space="preserve"> упрощает процедуры ведения бизнеса и повышает инвестиционную привлекательность региона</w:t>
      </w:r>
      <w:r w:rsidRPr="005000B9">
        <w:rPr>
          <w:rFonts w:ascii="Times New Roman" w:hAnsi="Times New Roman" w:cs="Times New Roman"/>
          <w:sz w:val="28"/>
        </w:rPr>
        <w:t xml:space="preserve">», - сообщила заместитель руководителя Управления Росреестра по Волгоградской области </w:t>
      </w:r>
      <w:r w:rsidRPr="005000B9">
        <w:rPr>
          <w:rFonts w:ascii="Times New Roman" w:hAnsi="Times New Roman" w:cs="Times New Roman"/>
          <w:b/>
          <w:sz w:val="28"/>
        </w:rPr>
        <w:t>Татьяна Штыряева</w:t>
      </w:r>
      <w:r w:rsidRPr="005000B9">
        <w:rPr>
          <w:rFonts w:ascii="Times New Roman" w:hAnsi="Times New Roman" w:cs="Times New Roman"/>
          <w:sz w:val="28"/>
        </w:rPr>
        <w:t>.</w:t>
      </w:r>
      <w:r w:rsidRPr="00500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0B9" w:rsidRPr="005000B9" w:rsidRDefault="005000B9" w:rsidP="005000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B9">
        <w:rPr>
          <w:rFonts w:ascii="Times New Roman" w:hAnsi="Times New Roman" w:cs="Times New Roman"/>
          <w:sz w:val="28"/>
          <w:szCs w:val="28"/>
        </w:rPr>
        <w:t xml:space="preserve">Лидирующие позиции по внесению в ЕГРН сведений о границах сельских населенных пунктов занимают органы местного самоуправления Николаевского (81,8%), Палласовского (64,8%) и </w:t>
      </w:r>
      <w:proofErr w:type="spellStart"/>
      <w:r w:rsidRPr="005000B9">
        <w:rPr>
          <w:rFonts w:ascii="Times New Roman" w:hAnsi="Times New Roman" w:cs="Times New Roman"/>
          <w:sz w:val="28"/>
          <w:szCs w:val="28"/>
        </w:rPr>
        <w:t>Котельниковского</w:t>
      </w:r>
      <w:proofErr w:type="spellEnd"/>
      <w:r w:rsidRPr="005000B9">
        <w:rPr>
          <w:rFonts w:ascii="Times New Roman" w:hAnsi="Times New Roman" w:cs="Times New Roman"/>
          <w:sz w:val="28"/>
          <w:szCs w:val="28"/>
        </w:rPr>
        <w:t xml:space="preserve"> (64,7%) муниципальных районов Волгоградской области.</w:t>
      </w:r>
    </w:p>
    <w:p w:rsidR="005000B9" w:rsidRPr="005000B9" w:rsidRDefault="005000B9" w:rsidP="005000B9">
      <w:pPr>
        <w:autoSpaceDE w:val="0"/>
        <w:autoSpaceDN w:val="0"/>
        <w:adjustRightInd w:val="0"/>
        <w:ind w:firstLine="700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5000B9">
        <w:rPr>
          <w:rFonts w:ascii="Times New Roman" w:hAnsi="Times New Roman" w:cs="Times New Roman"/>
          <w:sz w:val="28"/>
          <w:szCs w:val="28"/>
        </w:rPr>
        <w:t>«</w:t>
      </w:r>
      <w:r w:rsidRPr="005000B9">
        <w:rPr>
          <w:rFonts w:ascii="Times New Roman" w:hAnsi="Times New Roman" w:cs="Times New Roman"/>
          <w:i/>
          <w:sz w:val="28"/>
          <w:szCs w:val="28"/>
        </w:rPr>
        <w:t>Работы по описанию границ населенных пунктов Николаевского района проводятся планомерно на протяжении последних 4 лет. Наличие в ЕГРН сведений о границах населенных пунктов позволит разграничить земли населенных пунктов от земель иных категорий, повысить защищенность имущественных прав юридических лиц и граждан, а также эффективно распоряжаться земельными ресурсами и качественно формировать границы новых земельных участков</w:t>
      </w:r>
      <w:r w:rsidRPr="005000B9">
        <w:rPr>
          <w:rFonts w:ascii="Times New Roman" w:hAnsi="Times New Roman" w:cs="Times New Roman"/>
          <w:sz w:val="28"/>
          <w:szCs w:val="28"/>
        </w:rPr>
        <w:t>», -</w:t>
      </w:r>
      <w:r w:rsidRPr="005000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00B9">
        <w:rPr>
          <w:rFonts w:ascii="Times New Roman" w:hAnsi="Times New Roman" w:cs="Times New Roman"/>
          <w:sz w:val="28"/>
          <w:szCs w:val="28"/>
        </w:rPr>
        <w:t xml:space="preserve">прокомментировала заместитель главы Николаевского муниципального района Волгоградской области </w:t>
      </w:r>
      <w:r w:rsidRPr="005000B9">
        <w:rPr>
          <w:rFonts w:ascii="Times New Roman" w:hAnsi="Times New Roman" w:cs="Times New Roman"/>
          <w:b/>
          <w:sz w:val="28"/>
          <w:szCs w:val="28"/>
        </w:rPr>
        <w:t>Светлана Пшеничная</w:t>
      </w:r>
      <w:r w:rsidRPr="005000B9">
        <w:rPr>
          <w:rFonts w:ascii="Times New Roman" w:hAnsi="Times New Roman" w:cs="Times New Roman"/>
          <w:sz w:val="28"/>
          <w:szCs w:val="28"/>
        </w:rPr>
        <w:t>.</w:t>
      </w: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4FF4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7C61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634D2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000B9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BC5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250CC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2022-06-21T06:50:00Z</dcterms:created>
  <dcterms:modified xsi:type="dcterms:W3CDTF">2022-06-21T06:50:00Z</dcterms:modified>
</cp:coreProperties>
</file>