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9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9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9"/>
        <w:ind w:hanging="0"/>
        <w:rPr/>
      </w:pPr>
      <w:r>
        <w:rPr>
          <w:sz w:val="32"/>
        </w:rPr>
        <w:t>РОССИЙСКОЙ ФЕДЕРАЦИИ</w:t>
      </w:r>
    </w:p>
    <w:p>
      <w:pPr>
        <w:pStyle w:val="Style19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9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3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3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3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3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Работодателям: подтвердить основной вид экономической деятельности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можно до 17 апреля включительно</w:t>
      </w:r>
    </w:p>
    <w:p>
      <w:pPr>
        <w:pStyle w:val="NormalWeb"/>
        <w:jc w:val="both"/>
        <w:rPr/>
      </w:pPr>
      <w:r>
        <w:rPr>
          <w:sz w:val="28"/>
          <w:szCs w:val="28"/>
        </w:rPr>
        <w:t>В связи с тем, что срок подтверждения основного вида экономической деятельности (ежегодно не позднее 15 апреля) в этом году выпадает на выходной день, возможность подачи документов продлена до 17 апреля включительно. До окончания этого срока работодателям–юридическим лицам (компаниям и их обособленным подразделениям) необходимо представить в территориальный орган Социального фонда по месту своей регистрации сведения по итогам деятельности за предыдущий год.</w:t>
      </w:r>
    </w:p>
    <w:p>
      <w:pPr>
        <w:pStyle w:val="NormalWeb"/>
        <w:jc w:val="both"/>
        <w:rPr/>
      </w:pPr>
      <w:r>
        <w:rPr>
          <w:sz w:val="28"/>
          <w:szCs w:val="28"/>
        </w:rPr>
        <w:t xml:space="preserve">Речь идет об организациях, зарегистрированных в качестве страхователя в 2022 году и ранее. Если организация зарегистрирована в текущем году, то подтверждать основной вид деятельности </w:t>
      </w:r>
      <w:r>
        <w:rPr>
          <w:sz w:val="28"/>
          <w:szCs w:val="28"/>
        </w:rPr>
        <w:t>(ОВЭД)</w:t>
      </w:r>
      <w:r>
        <w:rPr>
          <w:sz w:val="28"/>
          <w:szCs w:val="28"/>
        </w:rPr>
        <w:t xml:space="preserve"> не требуется.</w:t>
      </w:r>
    </w:p>
    <w:p>
      <w:pPr>
        <w:pStyle w:val="NormalWeb"/>
        <w:jc w:val="both"/>
        <w:rPr/>
      </w:pPr>
      <w:r>
        <w:rPr>
          <w:sz w:val="28"/>
          <w:szCs w:val="28"/>
        </w:rPr>
        <w:t xml:space="preserve">Для подтверждения ОВЭД работодателям или их законным представителям по доверенности необходимо направить заявление </w:t>
      </w:r>
      <w:hyperlink r:id="rId3">
        <w:r>
          <w:rPr>
            <w:rStyle w:val="Style17"/>
            <w:color w:val="00000A"/>
            <w:sz w:val="28"/>
            <w:szCs w:val="28"/>
            <w:u w:val="none"/>
          </w:rPr>
          <w:t>по новой форме</w:t>
        </w:r>
      </w:hyperlink>
      <w:r>
        <w:rPr>
          <w:sz w:val="28"/>
          <w:szCs w:val="28"/>
        </w:rPr>
        <w:t>, справку-подтверждение основного вида экономической деятельности, а также копию пояснительной записки к бухгалтерскому балансу за 2022 год (кроме страхователей субъектов малого предпринимательства).</w:t>
      </w:r>
    </w:p>
    <w:p>
      <w:pPr>
        <w:pStyle w:val="NormalWeb"/>
        <w:jc w:val="both"/>
        <w:rPr/>
      </w:pPr>
      <w:r>
        <w:rPr>
          <w:b/>
          <w:bCs/>
          <w:sz w:val="28"/>
          <w:szCs w:val="28"/>
        </w:rPr>
        <w:t>Ежегодная процедура подтверждения ОВЭД необходима для определения размера страхового тарифа на обязательное социальное страхование от несчастных случаев на производстве и профессиональных заболеваний</w:t>
      </w:r>
      <w:r>
        <w:rPr>
          <w:sz w:val="28"/>
          <w:szCs w:val="28"/>
        </w:rPr>
        <w:t>, исходя из которого страхователь будет рассчитывать и уплачивать взносы за своих сотрудников в текущем году. Чем выше класс профессионального риска, к которому относится ОВЭД страхователя, тем выше размер страхового тарифа.</w:t>
      </w:r>
    </w:p>
    <w:p>
      <w:pPr>
        <w:pStyle w:val="NormalWeb"/>
        <w:spacing w:before="0" w:after="200"/>
        <w:jc w:val="both"/>
        <w:rPr/>
      </w:pPr>
      <w:r>
        <w:rPr>
          <w:sz w:val="28"/>
          <w:szCs w:val="28"/>
        </w:rPr>
        <w:t xml:space="preserve">Документы можно представить в электронной форме через портал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осуслуг, личный кабинет страхователя на сайте СФР, а также сайт подтверждения ОВЭД. Сведения на бумажном носителе можно представить в отделени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СФР, МФЦ или почтой.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employers/oved_confirmation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2023-04-12T15:09:11Z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