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640" y="0"/>
                <wp:lineTo x="-640" y="20746"/>
                <wp:lineTo x="21584" y="20746"/>
                <wp:lineTo x="21584" y="0"/>
                <wp:lineTo x="-64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6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6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6"/>
        <w:ind w:hanging="0"/>
        <w:rPr/>
      </w:pPr>
      <w:r>
        <w:rPr>
          <w:sz w:val="32"/>
        </w:rPr>
        <w:t>РОССИЙСКОЙ ФЕДЕРАЦИИ</w:t>
      </w:r>
    </w:p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6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0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5600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0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7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Жители Волгоградской области могут </w:t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сменить страховщика пенсионных накоплений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 декабря завершится приём заявлений о переходе (досрочном переходе) от одного страховщика к другому.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Застрахованные лица вправе переводить свои накопления из одного негосударственного пенсионного фонда (НПФ) в другой. Заявления граждане могут подать в электронной форме на портале Госуслуг или лично в клиентской службе СФР. С начала этого года Отделение СФР по Волгоградской области приняло </w:t>
      </w:r>
      <w:r>
        <w:rPr>
          <w:rFonts w:cs="Times New Roman" w:ascii="Times New Roman" w:hAnsi="Times New Roman"/>
          <w:b/>
          <w:bCs/>
          <w:sz w:val="28"/>
          <w:szCs w:val="28"/>
        </w:rPr>
        <w:t>1 655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таких заявлений.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С 2014 года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Style w:val="Style14"/>
          <w:rFonts w:cs="Times New Roman" w:ascii="Times New Roman" w:hAnsi="Times New Roman"/>
          <w:i w:val="false"/>
          <w:sz w:val="28"/>
          <w:szCs w:val="28"/>
        </w:rPr>
        <w:t xml:space="preserve">отчисления работодателей полностью направляются на формирование страховой части пенсии. При этом сформированные ранее пенсионные накопления продолжают «работать» и приносить инвестиционный доход по решению их владельца (можно оставить в СФР, можно перевести в НПФ или частную управляющую компанию). Средства пенсионных накоплений выплачиваются гражданам при достижении прежнего пенсионного возраста: в 55 лет – женщинам и в 60 лет – мужчинам. 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i w:val="false"/>
          <w:iCs w:val="false"/>
          <w:sz w:val="28"/>
          <w:szCs w:val="28"/>
        </w:rPr>
        <w:t xml:space="preserve">Если гражданин в текущем году подал несколько заявлений о переводе средств пенсионных накоплений, то рассмотрено будет </w:t>
      </w:r>
      <w:r>
        <w:rPr>
          <w:rStyle w:val="Style14"/>
          <w:rFonts w:cs="Times New Roman" w:ascii="Times New Roman" w:hAnsi="Times New Roman"/>
          <w:bCs/>
          <w:i w:val="false"/>
          <w:iCs w:val="false"/>
          <w:sz w:val="28"/>
          <w:szCs w:val="28"/>
        </w:rPr>
        <w:t>первое обращение, а не последнее</w:t>
      </w:r>
      <w:r>
        <w:rPr>
          <w:rStyle w:val="Style14"/>
          <w:rFonts w:cs="Times New Roman" w:ascii="Times New Roman" w:hAnsi="Times New Roman"/>
          <w:i w:val="false"/>
          <w:iCs w:val="false"/>
          <w:sz w:val="28"/>
          <w:szCs w:val="28"/>
        </w:rPr>
        <w:t xml:space="preserve">. Если гражданин передумал менять страховщика или хочет, чтобы вступило в силу последнее поданное заявление, необходимо </w:t>
      </w:r>
      <w:r>
        <w:rPr>
          <w:rStyle w:val="Style14"/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>не позднее 31 декабря</w:t>
      </w:r>
      <w:r>
        <w:rPr>
          <w:rStyle w:val="Style14"/>
          <w:rFonts w:cs="Times New Roman" w:ascii="Times New Roman" w:hAnsi="Times New Roman"/>
          <w:i w:val="false"/>
          <w:iCs w:val="false"/>
          <w:sz w:val="28"/>
          <w:szCs w:val="28"/>
        </w:rPr>
        <w:t xml:space="preserve"> текущего года подать </w:t>
      </w:r>
      <w:r>
        <w:rPr>
          <w:rStyle w:val="Style14"/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>уведомление об отказе</w:t>
      </w:r>
      <w:r>
        <w:rPr>
          <w:rStyle w:val="Style14"/>
          <w:rFonts w:cs="Times New Roman" w:ascii="Times New Roman" w:hAnsi="Times New Roman"/>
          <w:bCs/>
          <w:i w:val="false"/>
          <w:iCs w:val="false"/>
          <w:sz w:val="28"/>
          <w:szCs w:val="28"/>
        </w:rPr>
        <w:t xml:space="preserve"> от смены страховщика</w:t>
      </w:r>
      <w:r>
        <w:rPr>
          <w:rStyle w:val="Style14"/>
          <w:rFonts w:cs="Times New Roman" w:ascii="Times New Roman" w:hAnsi="Times New Roman"/>
          <w:i w:val="false"/>
          <w:iCs w:val="false"/>
          <w:sz w:val="28"/>
          <w:szCs w:val="28"/>
        </w:rPr>
        <w:t>.</w:t>
      </w:r>
    </w:p>
    <w:p>
      <w:pPr>
        <w:pStyle w:val="Normal"/>
        <w:spacing w:before="0" w:after="200"/>
        <w:jc w:val="both"/>
        <w:rPr/>
      </w:pPr>
      <w:r>
        <w:rPr>
          <w:rStyle w:val="Style14"/>
          <w:rFonts w:cs="Times New Roman" w:ascii="Times New Roman" w:hAnsi="Times New Roman"/>
          <w:i w:val="false"/>
          <w:iCs w:val="false"/>
          <w:sz w:val="28"/>
          <w:szCs w:val="28"/>
        </w:rPr>
        <w:t xml:space="preserve">Также до 31 декабря можно подать заявление </w:t>
      </w:r>
      <w:r>
        <w:rPr>
          <w:rStyle w:val="Style14"/>
          <w:rFonts w:cs="Times New Roman" w:ascii="Times New Roman" w:hAnsi="Times New Roman"/>
          <w:bCs/>
          <w:i w:val="false"/>
          <w:iCs w:val="false"/>
          <w:sz w:val="28"/>
          <w:szCs w:val="28"/>
        </w:rPr>
        <w:t>о выборе управляющей компании</w:t>
      </w:r>
      <w:r>
        <w:rPr>
          <w:rStyle w:val="Style14"/>
          <w:rFonts w:cs="Times New Roman" w:ascii="Times New Roman" w:hAnsi="Times New Roman"/>
          <w:i w:val="false"/>
          <w:iCs w:val="false"/>
          <w:sz w:val="28"/>
          <w:szCs w:val="28"/>
        </w:rPr>
        <w:t xml:space="preserve"> в случае, если средства пенсионных накоплений находятся в СФР. </w:t>
      </w:r>
      <w:r>
        <w:rPr>
          <w:rFonts w:cs="Times New Roman" w:ascii="Times New Roman" w:hAnsi="Times New Roman"/>
          <w:sz w:val="28"/>
          <w:szCs w:val="28"/>
        </w:rPr>
        <w:t>Напоминаем, что досрочный переход к другому страховщику ранее чем через 5 лет с момента последнего перевода влечёт за собой потерю инвестиционного дохода.</w:t>
      </w:r>
    </w:p>
    <w:p>
      <w:pPr>
        <w:pStyle w:val="Normal"/>
        <w:spacing w:before="0" w:after="20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Фото: Freepic.com 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yle14">
    <w:name w:val="Выделение"/>
    <w:rPr>
      <w:i/>
      <w:i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Блочная цитата"/>
    <w:basedOn w:val="Normal"/>
    <w:qFormat/>
    <w:pPr/>
    <w:rPr/>
  </w:style>
  <w:style w:type="paragraph" w:styleId="Style22">
    <w:name w:val="Заглавие"/>
    <w:basedOn w:val="Style15"/>
    <w:pPr/>
    <w:rPr/>
  </w:style>
  <w:style w:type="paragraph" w:styleId="Style23">
    <w:name w:val="Подзаголовок"/>
    <w:basedOn w:val="Style15"/>
    <w:pPr/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LibreOffice/4.4.3.2$Windows_x86 LibreOffice_project/88805f81e9fe61362df02b9941de8e38a9b5fd16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2023-11-27T11:56:44Z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