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640" y="0"/>
                <wp:lineTo x="-640" y="20746"/>
                <wp:lineTo x="21584" y="20746"/>
                <wp:lineTo x="21584" y="0"/>
                <wp:lineTo x="-64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6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6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6"/>
        <w:ind w:hanging="0"/>
        <w:rPr/>
      </w:pPr>
      <w:r>
        <w:rPr>
          <w:sz w:val="32"/>
        </w:rPr>
        <w:t>РОССИЙСКОЙ ФЕДЕРАЦИИ</w:t>
      </w:r>
    </w:p>
    <w:p>
      <w:pPr>
        <w:pStyle w:val="Style16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6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0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0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5600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7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spacing w:lineRule="auto" w:line="276"/>
        <w:jc w:val="center"/>
        <w:rPr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 xml:space="preserve">Почти 84 тысячи волгоградцев старше 80 лет </w:t>
      </w:r>
    </w:p>
    <w:p>
      <w:pPr>
        <w:pStyle w:val="Normal"/>
        <w:spacing w:lineRule="auto" w:line="276"/>
        <w:jc w:val="center"/>
        <w:rPr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sz w:val="30"/>
          <w:szCs w:val="30"/>
        </w:rPr>
        <w:t>получают пенсию в повышенном размере</w:t>
      </w:r>
    </w:p>
    <w:p>
      <w:pPr>
        <w:pStyle w:val="Normal"/>
        <w:spacing w:lineRule="auto" w:line="276"/>
        <w:jc w:val="both"/>
        <w:rPr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8"/>
          <w:szCs w:val="28"/>
        </w:rPr>
        <w:t>П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енсионерам с даты исполнения им 80 лет  положена фиксированная выплата (ФВ) в двойном размере. В Волгоградской области получателями такой повышенной пенсии являются сегодня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83 767 человек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. Фиксированная выплата – это гарантированная часть страховой пенсии, размер которой устанавливается государством. Выплата ежегодно индексируется. В 2023 году она составляет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7 567 рублей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, а после достижения пенсионером 80 лет –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>15 134 рубля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>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Перерасчёт производится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проактивно</w:t>
      </w:r>
      <w:r>
        <w:rPr>
          <w:rFonts w:cs="Times New Roman" w:ascii="Times New Roman" w:hAnsi="Times New Roman"/>
          <w:color w:val="000000"/>
          <w:sz w:val="28"/>
          <w:szCs w:val="28"/>
        </w:rPr>
        <w:t>, то есть без обращения в Социальный фонд.  Повышенная фиксированная выплата назначается в месяц исполнения 80 лет, а выплачивается со следующего месяца – с доплатой с даты рождения.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Важно знать, что р</w:t>
      </w:r>
      <w:r>
        <w:rPr>
          <w:rFonts w:cs="Times New Roman" w:ascii="Times New Roman" w:hAnsi="Times New Roman"/>
          <w:sz w:val="28"/>
          <w:szCs w:val="28"/>
        </w:rPr>
        <w:t xml:space="preserve">ассчитывать на увеличение пенсии может не каждый пенсионер старше 80 лет, а лишь тот, </w:t>
      </w:r>
      <w:r>
        <w:rPr>
          <w:rFonts w:cs="Times New Roman" w:ascii="Times New Roman" w:hAnsi="Times New Roman"/>
          <w:bCs/>
          <w:sz w:val="28"/>
          <w:szCs w:val="28"/>
        </w:rPr>
        <w:t>кому выплачивается страховая пенсия по старости</w:t>
      </w:r>
      <w:r>
        <w:rPr>
          <w:rFonts w:cs="Times New Roman" w:ascii="Times New Roman" w:hAnsi="Times New Roman"/>
          <w:sz w:val="28"/>
          <w:szCs w:val="28"/>
        </w:rPr>
        <w:t>. Граждане,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получающие </w:t>
      </w:r>
      <w:r>
        <w:rPr>
          <w:rStyle w:val="Strong"/>
          <w:rFonts w:cs="Times New Roman" w:ascii="Times New Roman" w:hAnsi="Times New Roman"/>
          <w:b/>
          <w:bCs/>
          <w:sz w:val="28"/>
          <w:szCs w:val="28"/>
        </w:rPr>
        <w:t>социальную пенсию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, претендовать на доплату не вправе.</w:t>
      </w: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Также при достижении 80 лет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фиксированная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выплата не удваивается у пенсионеров, которые являются </w:t>
      </w:r>
      <w:r>
        <w:rPr>
          <w:rStyle w:val="Strong"/>
          <w:rFonts w:cs="Times New Roman" w:ascii="Times New Roman" w:hAnsi="Times New Roman"/>
          <w:b/>
          <w:bCs/>
          <w:sz w:val="28"/>
          <w:szCs w:val="28"/>
        </w:rPr>
        <w:t>инвалидами I группы</w:t>
      </w:r>
      <w:r>
        <w:rPr>
          <w:rFonts w:cs="Times New Roman" w:ascii="Times New Roman" w:hAnsi="Times New Roman"/>
          <w:b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 xml:space="preserve">так как они уже получают фиксированную выплату в двойном размере независимо от возраста. 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Кроме того, такая 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 xml:space="preserve">надбавка не положена, если пожилой человек получает </w:t>
      </w:r>
      <w:r>
        <w:rPr>
          <w:rStyle w:val="Strong"/>
          <w:rFonts w:cs="Times New Roman" w:ascii="Times New Roman" w:hAnsi="Times New Roman"/>
          <w:b/>
          <w:bCs/>
          <w:sz w:val="28"/>
          <w:szCs w:val="28"/>
        </w:rPr>
        <w:t>пенсию по потере кормильца</w:t>
      </w:r>
      <w:r>
        <w:rPr>
          <w:rStyle w:val="Strong"/>
          <w:rFonts w:cs="Times New Roman" w:ascii="Times New Roman" w:hAnsi="Times New Roman"/>
          <w:b w:val="false"/>
          <w:sz w:val="28"/>
          <w:szCs w:val="28"/>
        </w:rPr>
        <w:t>.</w:t>
      </w:r>
      <w:r>
        <w:rPr>
          <w:rFonts w:cs="Times New Roman" w:ascii="Times New Roman" w:hAnsi="Times New Roman"/>
          <w:sz w:val="28"/>
          <w:szCs w:val="28"/>
        </w:rPr>
        <w:t xml:space="preserve"> В данном случае по достижении пенсионером 80 лет специалисты Социального фонда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рассчитывают максимально выгодные условия с учётом увеличенной вдвое фиксированной выплаты. И если страховая пенсия по старости 80-летнего гражданина окажется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более выгодным вариантом</w:t>
      </w:r>
      <w:r>
        <w:rPr>
          <w:rFonts w:cs="Times New Roman" w:ascii="Times New Roman" w:hAnsi="Times New Roman"/>
          <w:color w:val="000000"/>
          <w:sz w:val="28"/>
          <w:szCs w:val="28"/>
        </w:rPr>
        <w:t>, чем пенсия по случаю потери кормильца, то её установят автоматически.</w:t>
      </w:r>
    </w:p>
    <w:p>
      <w:pPr>
        <w:pStyle w:val="Normal"/>
        <w:spacing w:lineRule="auto" w:line="276"/>
        <w:jc w:val="both"/>
        <w:rPr/>
      </w:pPr>
      <w:r>
        <w:rPr>
          <w:rFonts w:cs="Times New Roman" w:ascii="Arial" w:hAnsi="Arial"/>
          <w:i w:val="false"/>
          <w:iCs w:val="false"/>
          <w:color w:val="000000"/>
          <w:sz w:val="24"/>
          <w:szCs w:val="24"/>
        </w:rPr>
        <w:t xml:space="preserve">Фото: </w:t>
      </w:r>
      <w:hyperlink r:id="rId3" w:tgtFrame="_blank">
        <w:r>
          <w:rPr>
            <w:rStyle w:val="Style14"/>
            <w:rFonts w:cs="Times New Roman" w:ascii="Arial" w:hAnsi="Arial"/>
            <w:i w:val="false"/>
            <w:iCs w:val="false"/>
            <w:color w:val="000000"/>
            <w:sz w:val="24"/>
            <w:szCs w:val="24"/>
          </w:rPr>
          <w:t>ru.dreamstime.com</w:t>
        </w:r>
      </w:hyperlink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76" w:before="0" w:after="200"/>
        <w:jc w:val="both"/>
        <w:rPr/>
      </w:pPr>
      <w:r>
        <w:rPr/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>
    <w:name w:val="Блочная цитата"/>
    <w:basedOn w:val="Normal"/>
    <w:qFormat/>
    <w:pPr/>
    <w:rPr/>
  </w:style>
  <w:style w:type="paragraph" w:styleId="Style22">
    <w:name w:val="Заглавие"/>
    <w:basedOn w:val="Style15"/>
    <w:pPr/>
    <w:rPr/>
  </w:style>
  <w:style w:type="paragraph" w:styleId="Style23">
    <w:name w:val="Подзаголовок"/>
    <w:basedOn w:val="Style15"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ru.dreamstime.com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LibreOffice/4.4.3.2$Windows_x86 LibreOffice_project/88805f81e9fe61362df02b9941de8e38a9b5fd16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2023-11-23T13:34:49Z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