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12"/>
          <w:szCs w:val="12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980 сертификатов на материнский капитал 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получили волгоградские семьи в 2024 году </w:t>
      </w:r>
    </w:p>
    <w:p>
      <w:pPr>
        <w:pStyle w:val="Normal"/>
        <w:jc w:val="both"/>
        <w:rPr>
          <w:b/>
          <w:b/>
          <w:bCs w:val="false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2024 году специалисты Отделения СФР по Волгоградской области оформили 980 сертификатов на маткапитал </w:t>
      </w:r>
      <w:r>
        <w:rPr>
          <w:rFonts w:ascii="Times New Roman" w:hAnsi="Times New Roman"/>
          <w:b/>
          <w:bCs/>
          <w:sz w:val="26"/>
          <w:szCs w:val="26"/>
        </w:rPr>
        <w:t>в б</w:t>
      </w:r>
      <w:r>
        <w:rPr>
          <w:rFonts w:ascii="Times New Roman" w:hAnsi="Times New Roman"/>
          <w:b/>
          <w:bCs/>
          <w:sz w:val="26"/>
          <w:szCs w:val="26"/>
        </w:rPr>
        <w:t>еззаявительно</w:t>
      </w:r>
      <w:r>
        <w:rPr>
          <w:rFonts w:ascii="Times New Roman" w:hAnsi="Times New Roman"/>
          <w:b/>
          <w:bCs/>
          <w:sz w:val="26"/>
          <w:szCs w:val="26"/>
        </w:rPr>
        <w:t>м порядке.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что оформление сертификатов проактивно происходит на основании сведений о рождении детей, которые поступают  из органов ЗАГС. Электронный сертификат направляется в личный кабинет мамы на портале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осуслуг. То есть для того, чтобы получить сертификат на маткапитал в проактивном режиме, мама обязательно должна быть зарегистрирована на портале Госуслуг. Это позволит не только получить сам сертификат в беззаявительном порядке, но и распорядиться средствами материнского капитала без визита в клиентские службы Отделения СФР по Волгоградско</w:t>
      </w:r>
      <w:r>
        <w:rPr>
          <w:rFonts w:ascii="Times New Roman" w:hAnsi="Times New Roman"/>
          <w:sz w:val="26"/>
          <w:szCs w:val="26"/>
        </w:rPr>
        <w:t>й области</w:t>
      </w:r>
      <w:r>
        <w:rPr>
          <w:rFonts w:ascii="Times New Roman" w:hAnsi="Times New Roman"/>
          <w:sz w:val="26"/>
          <w:szCs w:val="26"/>
        </w:rPr>
        <w:t xml:space="preserve"> или МФЦ. Соответствующее заявление можно подать дистанционно, а все необходимые сведения специалисты запросят самостоятельно в рамках межведомственного взаимодействия.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произошло несколько законодательных изменений, связанных с материнским капиталом.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«Теперь право на материнский капитал возникает только у родителей, имеющих российское гражданство на момент появления реб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нка, который также является гражданином РФ по рождению. Кроме этого, в новом году до полугода увеличен период, в течение которого можно обратиться за выплатой из материнского капитала и получить деньги за вс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 xml:space="preserve"> время с момента рождения реб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нка. Ещ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 xml:space="preserve"> одно нововведение касается одиноких отцов. Они так же, как и матери, в этом году могут направлять маткапитал на формирование накопительной пенсии», — </w:t>
      </w:r>
      <w:r>
        <w:rPr>
          <w:rFonts w:ascii="Times New Roman" w:hAnsi="Times New Roman"/>
          <w:sz w:val="26"/>
          <w:szCs w:val="26"/>
        </w:rPr>
        <w:t>рассказал  управляющий ОСФР по Волгоградской области</w:t>
      </w:r>
      <w:r>
        <w:rPr>
          <w:rFonts w:ascii="Times New Roman" w:hAnsi="Times New Roman"/>
          <w:b/>
          <w:sz w:val="26"/>
          <w:szCs w:val="26"/>
        </w:rPr>
        <w:t xml:space="preserve"> Владимир Федоров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 февраля 2024 года в связи с индексацией увеличился размер материнского капитала: на первого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нка он </w:t>
      </w:r>
      <w:r>
        <w:rPr>
          <w:rFonts w:ascii="Times New Roman" w:hAnsi="Times New Roman"/>
          <w:sz w:val="26"/>
          <w:szCs w:val="26"/>
        </w:rPr>
        <w:t xml:space="preserve">теперь </w:t>
      </w:r>
      <w:r>
        <w:rPr>
          <w:rFonts w:ascii="Times New Roman" w:hAnsi="Times New Roman"/>
          <w:sz w:val="26"/>
          <w:szCs w:val="26"/>
        </w:rPr>
        <w:t>составляет 630 380 рублей, на второго — 833 024 рубля, если семья ещё не получала капитал на первого малыша. Если семья уже получ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ла материнский капитал на первенца, то его размер увеличивается на 202 643 рубля при появлении второго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остались вопросы, то вы можете обратиться к специалистам контакт-центра по телефону:               8 (800) 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2024-02-13T11:28:17Z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