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804712" w:rsidRPr="007405FD" w:rsidRDefault="00EF3A4F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A4F">
        <w:rPr>
          <w:rFonts w:ascii="Times New Roman" w:hAnsi="Times New Roman" w:cs="Times New Roman"/>
          <w:b/>
          <w:sz w:val="28"/>
          <w:szCs w:val="28"/>
        </w:rPr>
        <w:t>Изменение назначения объекта недвижимости с «жилого» на «нежилое»</w:t>
      </w: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ветствии с частью 1 статьи 22 Жилищного кодекса Российской Федерации (ЖК РФ)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жилого помещения в нежилое помещение и нежил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помещения в жилое помещение предусмотрен разрешительный порядок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учетом требований ЖК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законодательства Российской Федерации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градостроительной деятельности. </w:t>
      </w: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отношении 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перевод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жилого здания в нежилое и нежилого здания в жилое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такая процедура не предусмотрена. Перевод 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жилого здания в нежилое и нежилого здания в жилое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 изменение его функционального назначения и соответственно вида разрешенного использования,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связи с чем такое изменение </w:t>
      </w:r>
      <w:r w:rsidRPr="003F48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 осуществляться путем проведения реконструкции, порядок осуществления 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торой установлен положениями Градостроительного кодекса Российской Федерации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РФ).</w:t>
      </w:r>
    </w:p>
    <w:p w:rsidR="00EF3A4F" w:rsidRPr="003F482D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EA30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еконструкция объекта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индивидуального жилищного строительства</w:t>
      </w:r>
      <w:r w:rsidRPr="00EA30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объект капитального строительства</w:t>
      </w:r>
      <w:r w:rsidRPr="00EA30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имеющий иное функциональное назначение, должна осуществляться в общем порядке на основании выданного уполномоченным органом разрешения на строительство, в целях получения которого застройщику требуется наряду с заявлением представить перечень документов, предусмотренный частью 7 статьи 51 </w:t>
      </w:r>
      <w:proofErr w:type="spellStart"/>
      <w:r w:rsidRPr="00EA30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РФ.</w:t>
      </w:r>
    </w:p>
    <w:p w:rsidR="00EF3A4F" w:rsidRPr="00EA3061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в случае перевода объекта индивидуального жилищного строительства в нежилое здание необходимо</w:t>
      </w:r>
      <w:r w:rsidRPr="00EA3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изменить вид разрешенного использования земельного участка (если это допускается правилами землепользования и застройки и градостроительным регламентом)</w:t>
      </w:r>
      <w:r w:rsidRPr="002572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F3A4F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в соответствии со статьей 51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 получить разрешение на реконструкцию и последующий ввод объекта в эксплуатацию.</w:t>
      </w:r>
    </w:p>
    <w:p w:rsidR="00EF3A4F" w:rsidRPr="002572BA" w:rsidRDefault="00EF3A4F" w:rsidP="00EF3A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3A4F" w:rsidRPr="00EF3A4F" w:rsidRDefault="00EF3A4F" w:rsidP="00EF3A4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9020E">
        <w:rPr>
          <w:rFonts w:ascii="Times New Roman" w:hAnsi="Times New Roman" w:cs="Times New Roman"/>
          <w:sz w:val="28"/>
          <w:szCs w:val="28"/>
        </w:rPr>
        <w:t xml:space="preserve"> Управления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A4F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н</w:t>
      </w:r>
      <w:r w:rsidRPr="00EF3A4F">
        <w:rPr>
          <w:rFonts w:ascii="Times New Roman" w:hAnsi="Times New Roman" w:cs="Times New Roman"/>
          <w:i/>
          <w:sz w:val="28"/>
          <w:szCs w:val="28"/>
        </w:rPr>
        <w:t xml:space="preserve">ельзя изменить назначение здания </w:t>
      </w:r>
      <w:r w:rsidRPr="00EF3A4F">
        <w:rPr>
          <w:rFonts w:ascii="Times New Roman" w:hAnsi="Times New Roman" w:cs="Times New Roman"/>
          <w:i/>
          <w:sz w:val="28"/>
          <w:szCs w:val="28"/>
        </w:rPr>
        <w:lastRenderedPageBreak/>
        <w:t>с «жилого» на «нежилое» на основании проектной документации, в которой специализированной организацией сделано заключение об отсутствии конструктивных изменений, дана</w:t>
      </w:r>
      <w:r w:rsidRPr="00EF3A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оценка характеристик надежности и безопасности и т.п., так как это является нарушением разрешительного порядка.</w:t>
      </w: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11E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20E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A4F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2023-10-06T13:03:00Z</dcterms:created>
  <dcterms:modified xsi:type="dcterms:W3CDTF">2023-10-06T13:03:00Z</dcterms:modified>
</cp:coreProperties>
</file>