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jpeg" ContentType="image/jpeg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5"/>
        <w:numPr>
          <w:ilvl w:val="0"/>
          <w:numId w:val="0"/>
        </w:numPr>
        <w:ind w:hanging="0"/>
        <w:outlineLvl w:val="0"/>
        <w:rPr/>
      </w:pPr>
      <w:r>
        <w:drawing>
          <wp:anchor behindDoc="1" distT="0" distB="0" distL="133350" distR="115570" simplePos="0" locked="0" layoutInCell="1" allowOverlap="1" relativeHeight="3">
            <wp:simplePos x="0" y="0"/>
            <wp:positionH relativeFrom="column">
              <wp:posOffset>104775</wp:posOffset>
            </wp:positionH>
            <wp:positionV relativeFrom="paragraph">
              <wp:posOffset>25400</wp:posOffset>
            </wp:positionV>
            <wp:extent cx="1579880" cy="1399540"/>
            <wp:effectExtent l="0" t="0" r="0" b="0"/>
            <wp:wrapTight wrapText="bothSides">
              <wp:wrapPolygon edited="0">
                <wp:start x="-584" y="0"/>
                <wp:lineTo x="-584" y="20807"/>
                <wp:lineTo x="21589" y="20807"/>
                <wp:lineTo x="21589" y="0"/>
                <wp:lineTo x="-584" y="0"/>
              </wp:wrapPolygon>
            </wp:wrapTight>
            <wp:docPr id="1" name="Рисунок 0" descr="Логотип WEB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0" descr="Логотип WEB 4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880" cy="1399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32"/>
        </w:rPr>
        <w:t>П</w:t>
      </w:r>
      <w:r>
        <w:rPr>
          <w:sz w:val="32"/>
        </w:rPr>
        <w:t>РЕСС-СЛУЖБА</w:t>
      </w:r>
    </w:p>
    <w:p>
      <w:pPr>
        <w:pStyle w:val="Style15"/>
        <w:ind w:hanging="0"/>
        <w:rPr/>
      </w:pPr>
      <w:r>
        <w:rPr>
          <w:sz w:val="32"/>
        </w:rPr>
        <w:t xml:space="preserve">ОТДЕЛЕНИЯ ФОНДА ПЕНСИОННОГО </w:t>
      </w:r>
    </w:p>
    <w:p>
      <w:pPr>
        <w:pStyle w:val="Style15"/>
        <w:ind w:hanging="0"/>
        <w:rPr/>
      </w:pPr>
      <w:r>
        <w:rPr>
          <w:sz w:val="32"/>
        </w:rPr>
        <w:t xml:space="preserve">И СОЦИАЛЬНОГО СТРАХОВАНИЯ </w:t>
      </w:r>
    </w:p>
    <w:p>
      <w:pPr>
        <w:pStyle w:val="Style15"/>
        <w:ind w:hanging="0"/>
        <w:rPr/>
      </w:pPr>
      <w:r>
        <w:rPr>
          <w:sz w:val="32"/>
        </w:rPr>
        <w:t>РОССИЙСКОЙ ФЕДЕРАЦИИ</w:t>
      </w:r>
    </w:p>
    <w:p>
      <w:pPr>
        <w:pStyle w:val="Style15"/>
        <w:numPr>
          <w:ilvl w:val="0"/>
          <w:numId w:val="0"/>
        </w:numPr>
        <w:ind w:hanging="0"/>
        <w:outlineLvl w:val="0"/>
        <w:rPr/>
      </w:pPr>
      <w:r>
        <w:rPr>
          <w:sz w:val="32"/>
        </w:rPr>
        <w:t xml:space="preserve">ПО ВОЛГОГРАДСКОЙ ОБЛАСТИ </w:t>
      </w:r>
    </w:p>
    <w:p>
      <w:pPr>
        <w:pStyle w:val="Style15"/>
        <w:numPr>
          <w:ilvl w:val="0"/>
          <w:numId w:val="0"/>
        </w:numPr>
        <w:ind w:left="142" w:hanging="0"/>
        <w:outlineLvl w:val="0"/>
        <w:rPr>
          <w:sz w:val="32"/>
        </w:rPr>
      </w:pPr>
      <w:r>
        <w:rPr>
          <w:sz w:val="32"/>
        </w:rPr>
      </w:r>
    </w:p>
    <w:p>
      <w:pPr>
        <w:pStyle w:val="Style19"/>
        <w:ind w:left="142" w:firstLine="578"/>
        <w:jc w:val="center"/>
        <w:rPr>
          <w:b/>
          <w:b/>
          <w:sz w:val="22"/>
          <w:szCs w:val="20"/>
        </w:rPr>
      </w:pPr>
      <w:r>
        <w:rPr>
          <w:b/>
          <w:sz w:val="22"/>
          <w:szCs w:val="20"/>
        </w:rPr>
        <w:t xml:space="preserve">                                          </w:t>
      </w:r>
      <w:r>
        <w:rPr>
          <w:b/>
          <w:sz w:val="22"/>
          <w:szCs w:val="20"/>
        </w:rPr>
        <w:t>400001, г. Волгоград, ул. Рабоче-Крестьянская, 16</w:t>
      </w:r>
    </w:p>
    <w:p>
      <w:pPr>
        <w:pStyle w:val="Style19"/>
        <w:ind w:left="1620" w:firstLine="709"/>
        <w:jc w:val="center"/>
        <w:rPr>
          <w:b/>
          <w:b/>
          <w:bCs/>
          <w:sz w:val="28"/>
        </w:rPr>
      </w:pPr>
      <w:r>
        <w:rPr>
          <w:b/>
          <w:bCs/>
          <w:sz w:val="28"/>
        </w:rPr>
      </w:r>
    </w:p>
    <w:p>
      <w:pPr>
        <w:pStyle w:val="Style19"/>
        <w:ind w:left="1620" w:firstLine="709"/>
        <w:jc w:val="center"/>
        <w:rPr>
          <w:b/>
          <w:b/>
          <w:bCs/>
          <w:sz w:val="28"/>
        </w:rPr>
      </w:pPr>
      <w:r>
        <w:rPr>
          <w:b/>
          <w:bCs/>
          <w:sz w:val="28"/>
        </w:rPr>
        <mc:AlternateContent>
          <mc:Choice Requires="wps">
            <w:drawing>
              <wp:anchor behindDoc="1" distT="0" distB="0" distL="114300" distR="114300" simplePos="0" locked="0" layoutInCell="1" allowOverlap="1" relativeHeight="2">
                <wp:simplePos x="0" y="0"/>
                <wp:positionH relativeFrom="column">
                  <wp:posOffset>137160</wp:posOffset>
                </wp:positionH>
                <wp:positionV relativeFrom="paragraph">
                  <wp:posOffset>65405</wp:posOffset>
                </wp:positionV>
                <wp:extent cx="6704965" cy="1270"/>
                <wp:effectExtent l="0" t="0" r="0" b="0"/>
                <wp:wrapNone/>
                <wp:docPr id="2" name="shape_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4280" cy="0"/>
                        </a:xfrm>
                        <a:prstGeom prst="line">
                          <a:avLst/>
                        </a:prstGeom>
                        <a:ln w="57240">
                          <a:solidFill>
                            <a:srgbClr val="000099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0.8pt,5.15pt" to="538.65pt,5.15pt" ID="shape_0" stroked="t" style="position:absolute">
                <v:stroke color="#000099" weight="57240" joinstyle="miter" endcap="flat"/>
                <v:fill on="false" o:detectmouseclick="t"/>
              </v:line>
            </w:pict>
          </mc:Fallback>
        </mc:AlternateContent>
      </w:r>
    </w:p>
    <w:p>
      <w:pPr>
        <w:pStyle w:val="Style19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/>
      </w:pPr>
      <w:r>
        <w:rPr>
          <w:rFonts w:ascii="Times New Roman" w:hAnsi="Times New Roman"/>
          <w:b/>
          <w:bCs/>
          <w:sz w:val="22"/>
          <w:szCs w:val="20"/>
        </w:rPr>
        <w:t xml:space="preserve">      </w:t>
      </w:r>
      <w:r>
        <w:rPr>
          <w:rFonts w:ascii="Times New Roman" w:hAnsi="Times New Roman"/>
          <w:b/>
          <w:bCs/>
          <w:sz w:val="22"/>
          <w:szCs w:val="20"/>
        </w:rPr>
        <w:t>Официальный сайт Отделения СФР по Волгоградской области –</w:t>
      </w:r>
      <w:r>
        <w:rPr>
          <w:rFonts w:ascii="Times New Roman" w:hAnsi="Times New Roman"/>
          <w:b/>
          <w:bCs/>
          <w:sz w:val="22"/>
          <w:szCs w:val="20"/>
          <w:u w:val="single"/>
        </w:rPr>
        <w:t xml:space="preserve">  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sfr</w:t>
      </w:r>
      <w:r>
        <w:rPr>
          <w:rFonts w:ascii="Times New Roman" w:hAnsi="Times New Roman"/>
          <w:b/>
          <w:bCs/>
          <w:sz w:val="22"/>
          <w:szCs w:val="20"/>
        </w:rPr>
        <w:t>.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gov</w:t>
      </w:r>
      <w:r>
        <w:rPr>
          <w:rFonts w:ascii="Times New Roman" w:hAnsi="Times New Roman"/>
          <w:b/>
          <w:bCs/>
          <w:sz w:val="22"/>
          <w:szCs w:val="20"/>
        </w:rPr>
        <w:t>.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ru</w:t>
      </w:r>
      <w:r>
        <w:rPr>
          <w:rFonts w:ascii="Times New Roman" w:hAnsi="Times New Roman"/>
          <w:b/>
          <w:bCs/>
          <w:sz w:val="22"/>
          <w:szCs w:val="20"/>
        </w:rPr>
        <w:t>/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branches</w:t>
      </w:r>
      <w:r>
        <w:rPr>
          <w:rFonts w:ascii="Times New Roman" w:hAnsi="Times New Roman"/>
          <w:b/>
          <w:bCs/>
          <w:sz w:val="22"/>
          <w:szCs w:val="20"/>
        </w:rPr>
        <w:t>/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volgograd</w:t>
      </w:r>
      <w:r>
        <w:rPr>
          <w:rFonts w:ascii="Times New Roman" w:hAnsi="Times New Roman"/>
          <w:b/>
          <w:bCs/>
          <w:sz w:val="22"/>
          <w:szCs w:val="20"/>
        </w:rPr>
        <w:t>/</w:t>
      </w:r>
    </w:p>
    <w:p>
      <w:pPr>
        <w:pStyle w:val="Normal"/>
        <w:jc w:val="center"/>
        <w:rPr>
          <w:rFonts w:ascii="Times New Roman" w:hAnsi="Times New Roman"/>
          <w:b/>
          <w:b/>
          <w:bCs/>
          <w:sz w:val="22"/>
          <w:szCs w:val="20"/>
        </w:rPr>
      </w:pPr>
      <w:r>
        <w:rPr>
          <w:rFonts w:ascii="Times New Roman" w:hAnsi="Times New Roman"/>
          <w:b/>
          <w:bCs/>
          <w:sz w:val="22"/>
          <w:szCs w:val="20"/>
        </w:rPr>
      </w:r>
    </w:p>
    <w:p>
      <w:pPr>
        <w:pStyle w:val="Normal"/>
        <w:jc w:val="center"/>
        <w:rPr>
          <w:sz w:val="30"/>
          <w:szCs w:val="30"/>
        </w:rPr>
      </w:pPr>
      <w:r>
        <w:rPr>
          <w:rFonts w:cs="Times New Roman" w:ascii="Times New Roman" w:hAnsi="Times New Roman"/>
          <w:b/>
          <w:sz w:val="30"/>
          <w:szCs w:val="30"/>
        </w:rPr>
        <w:t xml:space="preserve">С начала года Отделение СФР по Волгоградской области назначило </w:t>
      </w:r>
    </w:p>
    <w:p>
      <w:pPr>
        <w:pStyle w:val="Normal"/>
        <w:jc w:val="center"/>
        <w:rPr>
          <w:sz w:val="30"/>
          <w:szCs w:val="30"/>
        </w:rPr>
      </w:pPr>
      <w:r>
        <w:rPr>
          <w:rFonts w:cs="Times New Roman" w:ascii="Times New Roman" w:hAnsi="Times New Roman"/>
          <w:b/>
          <w:sz w:val="30"/>
          <w:szCs w:val="30"/>
        </w:rPr>
        <w:t>единое пособие родителям 145 тысяч детей</w:t>
      </w:r>
    </w:p>
    <w:p>
      <w:pPr>
        <w:pStyle w:val="Normal"/>
        <w:jc w:val="both"/>
        <w:rPr>
          <w:sz w:val="30"/>
          <w:szCs w:val="30"/>
        </w:rPr>
      </w:pPr>
      <w:r>
        <w:rPr>
          <w:rFonts w:eastAsia="Times New Roman" w:cs="Times New Roman" w:ascii="Times New Roman" w:hAnsi="Times New Roman"/>
          <w:bCs/>
          <w:i/>
          <w:sz w:val="30"/>
          <w:szCs w:val="30"/>
          <w:lang w:eastAsia="ru-RU"/>
        </w:rPr>
        <w:t xml:space="preserve">В 2024 году Отделение СФР по Волгоградской области назначило единое пособие родителям 145 тысяч детей до 17 лет. На обеспечение этих целей было направлено 2 миллиарда 162 миллиона рублей. </w:t>
      </w:r>
    </w:p>
    <w:p>
      <w:pPr>
        <w:pStyle w:val="Normal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Единое пособие назначается с уч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ё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том комплексной оценки нуждаемости при соблюдении следующих условий:</w:t>
      </w:r>
    </w:p>
    <w:p>
      <w:pPr>
        <w:pStyle w:val="Normal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среднедушевой доход семьи не превышает прожиточный минимум на человека в регионе;</w:t>
      </w:r>
    </w:p>
    <w:p>
      <w:pPr>
        <w:pStyle w:val="Normal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имущество семьи соответствует установленным критериям;</w:t>
      </w:r>
    </w:p>
    <w:p>
      <w:pPr>
        <w:pStyle w:val="Normal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члены семьи старше 18 лет должны иметь официальный доход или уважительные причины его отсутствия.</w:t>
      </w:r>
    </w:p>
    <w:p>
      <w:pPr>
        <w:pStyle w:val="Normal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Напомним, что единое пособие было введено в России с 2023 года. Выплата назначается одному из родителей (усыновителей, опекунов (попечителей) реб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ё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нка в возрасте до 17 лет.</w:t>
      </w:r>
    </w:p>
    <w:p>
      <w:pPr>
        <w:pStyle w:val="Normal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Размер выплат рассчитывается исходя из прожиточного минимума, который в Волгоградской области составляет 12 891 рубль на детей и 14 486 рублей для трудоспособного населения. Для каждой семьи размер пособия индивидуален и составляет 50%, 75% или 100% от указанных прожиточных минимумов.</w:t>
      </w:r>
    </w:p>
    <w:p>
      <w:pPr>
        <w:pStyle w:val="Normal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Подать заявление на единое пособие можно через портал Госуслуг, в клиентской службе регионального Отделения СФР или офисах МФЦ.</w:t>
      </w:r>
    </w:p>
    <w:p>
      <w:pPr>
        <w:pStyle w:val="Normal"/>
        <w:spacing w:before="0" w:after="20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Если у вас остались вопросы, то вы можете обратиться к специалистам контакт-центра по телефону: 8 (800) 100-00-01. </w:t>
      </w:r>
    </w:p>
    <w:sectPr>
      <w:type w:val="nextPage"/>
      <w:pgSz w:w="11906" w:h="16838"/>
      <w:pgMar w:left="567" w:right="567" w:header="0" w:top="1134" w:footer="0" w:bottom="56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4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4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4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4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4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4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4"/>
      </w:rPr>
    </w:lvl>
  </w:abstractNum>
  <w:abstractNum w:abstractNumId="2"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5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54be1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ru-RU" w:eastAsia="en-US" w:bidi="ar-SA"/>
    </w:rPr>
  </w:style>
  <w:style w:type="paragraph" w:styleId="1">
    <w:name w:val="Заголовок 1"/>
    <w:basedOn w:val="Style14"/>
    <w:pPr/>
    <w:rPr/>
  </w:style>
  <w:style w:type="paragraph" w:styleId="2">
    <w:name w:val="Заголовок 2"/>
    <w:basedOn w:val="Style14"/>
    <w:pPr/>
    <w:rPr/>
  </w:style>
  <w:style w:type="paragraph" w:styleId="3">
    <w:name w:val="Заголовок 3"/>
    <w:basedOn w:val="Style14"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1" w:customStyle="1">
    <w:name w:val="Основной текст Знак"/>
    <w:basedOn w:val="DefaultParagraphFont"/>
    <w:link w:val="a3"/>
    <w:semiHidden/>
    <w:qFormat/>
    <w:rsid w:val="000c3a32"/>
    <w:rPr>
      <w:rFonts w:ascii="Times New Roman" w:hAnsi="Times New Roman" w:eastAsia="Times New Roman" w:cs="Times New Roman"/>
      <w:b/>
      <w:color w:val="00000A"/>
      <w:sz w:val="28"/>
      <w:szCs w:val="24"/>
      <w:lang w:eastAsia="ar-SA"/>
    </w:rPr>
  </w:style>
  <w:style w:type="character" w:styleId="Style12" w:customStyle="1">
    <w:name w:val="Основной текст с отступом Знак"/>
    <w:basedOn w:val="DefaultParagraphFont"/>
    <w:link w:val="a5"/>
    <w:semiHidden/>
    <w:qFormat/>
    <w:rsid w:val="000c3a32"/>
    <w:rPr>
      <w:rFonts w:ascii="Times New Roman" w:hAnsi="Times New Roman" w:eastAsia="Times New Roman" w:cs="Times New Roman"/>
      <w:color w:val="00000A"/>
      <w:sz w:val="24"/>
      <w:szCs w:val="24"/>
      <w:lang w:eastAsia="ar-SA"/>
    </w:rPr>
  </w:style>
  <w:style w:type="character" w:styleId="Style13" w:customStyle="1">
    <w:name w:val="Текст выноски Знак"/>
    <w:basedOn w:val="DefaultParagraphFont"/>
    <w:link w:val="a7"/>
    <w:uiPriority w:val="99"/>
    <w:semiHidden/>
    <w:qFormat/>
    <w:rsid w:val="000c3a32"/>
    <w:rPr>
      <w:rFonts w:ascii="Tahoma" w:hAnsi="Tahoma" w:cs="Tahoma"/>
      <w:sz w:val="16"/>
      <w:szCs w:val="16"/>
    </w:rPr>
  </w:style>
  <w:style w:type="character" w:styleId="ListLabel1">
    <w:name w:val="ListLabel 1"/>
    <w:qFormat/>
    <w:rPr>
      <w:rFonts w:ascii="Times New Roman" w:hAnsi="Times New Roman"/>
      <w:sz w:val="24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Основной текст"/>
    <w:basedOn w:val="Normal"/>
    <w:link w:val="a4"/>
    <w:semiHidden/>
    <w:unhideWhenUsed/>
    <w:rsid w:val="000c3a32"/>
    <w:pPr>
      <w:suppressAutoHyphens w:val="true"/>
      <w:spacing w:lineRule="auto" w:line="240" w:before="0" w:after="0"/>
      <w:jc w:val="center"/>
    </w:pPr>
    <w:rPr>
      <w:rFonts w:ascii="Times New Roman" w:hAnsi="Times New Roman" w:eastAsia="Times New Roman" w:cs="Times New Roman"/>
      <w:b/>
      <w:color w:val="00000A"/>
      <w:sz w:val="28"/>
      <w:szCs w:val="24"/>
      <w:lang w:eastAsia="ar-SA"/>
    </w:rPr>
  </w:style>
  <w:style w:type="paragraph" w:styleId="Style16">
    <w:name w:val="Список"/>
    <w:basedOn w:val="Style15"/>
    <w:pPr/>
    <w:rPr>
      <w:rFonts w:cs="Mangal"/>
    </w:rPr>
  </w:style>
  <w:style w:type="paragraph" w:styleId="Style17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Style19">
    <w:name w:val="Основной текст с отступом"/>
    <w:basedOn w:val="Normal"/>
    <w:link w:val="a6"/>
    <w:semiHidden/>
    <w:unhideWhenUsed/>
    <w:rsid w:val="000c3a32"/>
    <w:pPr>
      <w:suppressAutoHyphens w:val="true"/>
      <w:spacing w:lineRule="auto" w:line="240" w:before="0" w:after="0"/>
      <w:ind w:firstLine="709"/>
      <w:jc w:val="both"/>
    </w:pPr>
    <w:rPr>
      <w:rFonts w:ascii="Times New Roman" w:hAnsi="Times New Roman" w:eastAsia="Times New Roman" w:cs="Times New Roman"/>
      <w:color w:val="00000A"/>
      <w:sz w:val="24"/>
      <w:szCs w:val="24"/>
      <w:lang w:eastAsia="ar-SA"/>
    </w:rPr>
  </w:style>
  <w:style w:type="paragraph" w:styleId="BalloonText">
    <w:name w:val="Balloon Text"/>
    <w:basedOn w:val="Normal"/>
    <w:link w:val="a8"/>
    <w:uiPriority w:val="99"/>
    <w:semiHidden/>
    <w:unhideWhenUsed/>
    <w:qFormat/>
    <w:rsid w:val="000c3a3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0">
    <w:name w:val="Блочная цитата"/>
    <w:basedOn w:val="Normal"/>
    <w:qFormat/>
    <w:pPr/>
    <w:rPr/>
  </w:style>
  <w:style w:type="paragraph" w:styleId="Style21">
    <w:name w:val="Заглавие"/>
    <w:basedOn w:val="Style14"/>
    <w:pPr/>
    <w:rPr/>
  </w:style>
  <w:style w:type="paragraph" w:styleId="Style22">
    <w:name w:val="Подзаголовок"/>
    <w:basedOn w:val="Style14"/>
    <w:pPr/>
    <w:rPr/>
  </w:style>
  <w:style w:type="paragraph" w:styleId="Style23">
    <w:name w:val="Содержимое таблицы"/>
    <w:basedOn w:val="Normal"/>
    <w:qFormat/>
    <w:pPr>
      <w:suppressLineNumbers/>
    </w:pPr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LibreOffice/4.4.3.2$Windows_x86 LibreOffice_project/88805f81e9fe61362df02b9941de8e38a9b5fd16</Application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2023-01-10T07:24:00Z</dcterms:created>
  <dc:creator>044MatyushechkinaMS</dc:creator>
  <dc:language>ru-RU</dc:language>
  <dcterms:modified xsi:type="dcterms:W3CDTF">2024-05-16T12:59:45Z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