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Отделение 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Социального фонда России по Волгоградской области </w:t>
      </w:r>
    </w:p>
    <w:p>
      <w:pPr>
        <w:pStyle w:val="Normal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назначило единое пособие родителям более 157 тысяч детей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Отделение Социального фонда России по Волгоградской области с начала года оформило выплату единого пособия родителям </w:t>
      </w:r>
      <w:r>
        <w:rPr>
          <w:rFonts w:cs="Times New Roman" w:ascii="Times New Roman" w:hAnsi="Times New Roman"/>
          <w:b/>
          <w:bCs/>
          <w:sz w:val="28"/>
          <w:szCs w:val="28"/>
        </w:rPr>
        <w:t>157 713</w:t>
      </w:r>
      <w:r>
        <w:rPr>
          <w:rFonts w:cs="Times New Roman" w:ascii="Times New Roman" w:hAnsi="Times New Roman"/>
          <w:sz w:val="28"/>
          <w:szCs w:val="28"/>
        </w:rPr>
        <w:t xml:space="preserve"> детей. Пособие назначалось в формате социального казначейства. Это значит, что для получения выплаты родителям, как правило, достаточно было только подать заявление через портал 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>осуслуг. Остальные сведения Социальный фонд проверял по межведомственному взаимодействию. Для удобства родителей сразу все дети, на которых положено пособие, указываются в одном заявлении.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Напомним, что для оформления единого пособия дети и родители должны быть российскими гражданами и постоянно проживать в России. Размер выплаты на детей составляет 50%, 75% или 100% регионального прожиточного минимума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нка. При назначении выплаты применяется комплексная оценка доходов и имущества семьи, а также учитывается занятость родителей или объективные причины е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отсутствия.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LibreOffice/4.4.3.2$Windows_x86 LibreOffice_project/88805f81e9fe61362df02b9941de8e38a9b5fd16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2023-09-05T13:20:53Z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