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Прабабушки будут получать доплату к пенсии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находящихся на их иждивении правнуков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году для прабабушек и прадедушек, если на их иждивении находятся правнуки, не имеющие трудоспособных родителей, фиксированная выплата к страховой пенсии по старости или инвалидности увеличена на треть.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косн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тся пенсионеров, на иждивении которых находятся нетрудоспособные правнуки, </w:t>
      </w:r>
      <w:r>
        <w:rPr>
          <w:rFonts w:cs="Times New Roman" w:ascii="Times New Roman" w:hAnsi="Times New Roman"/>
          <w:sz w:val="28"/>
          <w:szCs w:val="28"/>
        </w:rPr>
        <w:t xml:space="preserve">не достигшие 18 лет; </w:t>
      </w:r>
      <w:r>
        <w:rPr>
          <w:rFonts w:cs="Times New Roman" w:ascii="Times New Roman" w:hAnsi="Times New Roman"/>
          <w:sz w:val="28"/>
          <w:szCs w:val="28"/>
        </w:rPr>
        <w:t>обучающиеся очно, но не дольше, чем до 23 лет; а также старше 23 лет, если они являются инвалидами с детства.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2024 году размер фиксированной выплаты к пенсии составляет 8 134,9 </w:t>
      </w:r>
      <w:r>
        <w:rPr>
          <w:rFonts w:cs="Times New Roman" w:ascii="Times New Roman" w:hAnsi="Times New Roman"/>
          <w:sz w:val="28"/>
          <w:szCs w:val="28"/>
        </w:rPr>
        <w:t>₽</w:t>
      </w:r>
      <w:r>
        <w:rPr>
          <w:rFonts w:cs="Times New Roman" w:ascii="Times New Roman" w:hAnsi="Times New Roman"/>
          <w:sz w:val="28"/>
          <w:szCs w:val="28"/>
        </w:rPr>
        <w:t>, к этой сумме прабабушки и прадедушки получат дополнительно 2 711 рублей. Точный размер выплат зависит от региона проживания.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фиксированной выплаты устанавливается фондом на каждого нетрудоспособного члена семьи или инвалида с детства, но не более чем на тр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х человек.</w:t>
      </w:r>
    </w:p>
    <w:p>
      <w:pPr>
        <w:pStyle w:val="Normal"/>
        <w:spacing w:lineRule="auto" w:line="276" w:before="0" w:after="200"/>
        <w:jc w:val="both"/>
        <w:rPr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Для перерасч</w:t>
      </w:r>
      <w:r>
        <w:rPr>
          <w:rFonts w:cs="Times New Roman" w:ascii="Times New Roman" w:hAnsi="Times New Roman"/>
          <w:i/>
          <w:iCs/>
          <w:sz w:val="28"/>
          <w:szCs w:val="28"/>
        </w:rPr>
        <w:t>ё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та фиксированной выплаты необходимо обратиться с заявлением в любую клиентскую службу Социального фонда России, МФЦ или через портал </w:t>
      </w:r>
      <w:r>
        <w:rPr>
          <w:rFonts w:cs="Times New Roman" w:ascii="Times New Roman" w:hAnsi="Times New Roman"/>
          <w:i/>
          <w:iCs/>
          <w:sz w:val="28"/>
          <w:szCs w:val="28"/>
        </w:rPr>
        <w:t>Г</w:t>
      </w:r>
      <w:r>
        <w:rPr>
          <w:rFonts w:cs="Times New Roman" w:ascii="Times New Roman" w:hAnsi="Times New Roman"/>
          <w:i/>
          <w:iCs/>
          <w:sz w:val="28"/>
          <w:szCs w:val="28"/>
        </w:rPr>
        <w:t>осуслуг.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2024-03-22T11:36:25Z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