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2F6" w:rsidRPr="009172F6" w:rsidRDefault="00E904D2" w:rsidP="009172F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Волгоградский Росреестр </w:t>
      </w:r>
      <w:r w:rsidR="00AF236E">
        <w:rPr>
          <w:rFonts w:ascii="Times New Roman" w:hAnsi="Times New Roman"/>
          <w:b/>
          <w:sz w:val="28"/>
          <w:szCs w:val="28"/>
        </w:rPr>
        <w:t>ответил на вопросы граждан, заданные в марте 2023 года</w:t>
      </w:r>
    </w:p>
    <w:bookmarkEnd w:id="0"/>
    <w:p w:rsidR="009172F6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36E" w:rsidRPr="00AF236E" w:rsidRDefault="00AF236E" w:rsidP="00AF23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F236E">
        <w:rPr>
          <w:rFonts w:ascii="Times New Roman" w:hAnsi="Times New Roman" w:cs="Times New Roman"/>
          <w:color w:val="000000"/>
          <w:sz w:val="28"/>
          <w:szCs w:val="28"/>
        </w:rPr>
        <w:t xml:space="preserve"> Какой срок устанавливается для исполнения объявленного предостережения </w:t>
      </w:r>
      <w:r w:rsidRPr="00AF236E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Pr="00AF236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AF236E"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Pr="00AF236E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предостережения </w:t>
      </w:r>
      <w:r w:rsidRPr="00AF236E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законом не предусмотрен.</w:t>
      </w:r>
      <w:r w:rsidRPr="00AF2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36E">
        <w:rPr>
          <w:rFonts w:ascii="Times New Roman" w:hAnsi="Times New Roman" w:cs="Times New Roman"/>
          <w:sz w:val="28"/>
          <w:szCs w:val="28"/>
        </w:rPr>
        <w:t xml:space="preserve">Объявление предостережения является формой профилактического мероприятия, которая, в первую очередь, носит предупреждающий характер и не влечет правовых последствий. 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F236E">
        <w:rPr>
          <w:rFonts w:ascii="Times New Roman" w:hAnsi="Times New Roman" w:cs="Times New Roman"/>
          <w:sz w:val="28"/>
          <w:szCs w:val="28"/>
        </w:rPr>
        <w:t xml:space="preserve"> Как снять запрет судебного пристава на регистрационные действия в отношении недвижимости? 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Ответ:</w:t>
      </w:r>
      <w:r w:rsidRPr="00AF236E">
        <w:rPr>
          <w:rFonts w:ascii="Times New Roman" w:hAnsi="Times New Roman" w:cs="Times New Roman"/>
          <w:sz w:val="28"/>
          <w:szCs w:val="28"/>
        </w:rPr>
        <w:t xml:space="preserve"> Если пристав законно наложил запрет, но его основания отпали (например, вы погасили долг), рекомендуем подать заявление о снятии запрета приставу для вынесения Постановления об отмене запрета на совершение регистрационных действий.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F236E">
        <w:rPr>
          <w:rFonts w:ascii="Times New Roman" w:hAnsi="Times New Roman" w:cs="Times New Roman"/>
          <w:sz w:val="28"/>
          <w:szCs w:val="28"/>
        </w:rPr>
        <w:t xml:space="preserve"> Кто может обратиться с заявлением о погашении ипотеки в ЕГРН?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Ответ:</w:t>
      </w:r>
      <w:r w:rsidRPr="00AF236E">
        <w:rPr>
          <w:rFonts w:ascii="Times New Roman" w:hAnsi="Times New Roman" w:cs="Times New Roman"/>
          <w:sz w:val="28"/>
          <w:szCs w:val="28"/>
        </w:rPr>
        <w:t xml:space="preserve"> Регистрационная запись об ипотеке погашается при поступлении в орган регистрации прав совместного заявления залогодателя и залогодержателя, либо только заявления залогодержателя. В случае, если выдана закладная, то для погашения ипотеки необходимо совместное заявление залогодателя и законного владельца закладной с одновременным представлением документарной закладной, либо заявления законного владельца закладной с одновременным представлением документарной закладной, либо 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объем.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Pr="00AF236E">
        <w:rPr>
          <w:rFonts w:ascii="Times New Roman" w:hAnsi="Times New Roman" w:cs="Times New Roman"/>
          <w:sz w:val="28"/>
          <w:szCs w:val="28"/>
        </w:rPr>
        <w:t xml:space="preserve"> Размер платы за предоставление сведений из ЕГРН в электронном виде?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Ответ:</w:t>
      </w:r>
      <w:r w:rsidRPr="00AF236E">
        <w:rPr>
          <w:rFonts w:ascii="Times New Roman" w:hAnsi="Times New Roman" w:cs="Times New Roman"/>
          <w:sz w:val="28"/>
          <w:szCs w:val="28"/>
        </w:rPr>
        <w:t xml:space="preserve"> За предоставление гражданам и организациям сведений из ЕГРН в электронном виде взимается плата в размере, установленном </w:t>
      </w:r>
      <w:proofErr w:type="spellStart"/>
      <w:r w:rsidRPr="00AF236E">
        <w:rPr>
          <w:rFonts w:ascii="Times New Roman" w:hAnsi="Times New Roman" w:cs="Times New Roman"/>
          <w:sz w:val="28"/>
          <w:szCs w:val="28"/>
        </w:rPr>
        <w:t>Минэконоиразвития</w:t>
      </w:r>
      <w:proofErr w:type="spellEnd"/>
      <w:r w:rsidRPr="00AF236E">
        <w:rPr>
          <w:rFonts w:ascii="Times New Roman" w:hAnsi="Times New Roman" w:cs="Times New Roman"/>
          <w:sz w:val="28"/>
          <w:szCs w:val="28"/>
        </w:rPr>
        <w:t xml:space="preserve"> России. В зависимости от требуемого документа она составляет от 150 до 600 рублей для физических лиц и от 300 до 900 рублей для юридических лиц.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F236E">
        <w:rPr>
          <w:rFonts w:ascii="Times New Roman" w:hAnsi="Times New Roman" w:cs="Times New Roman"/>
          <w:sz w:val="28"/>
          <w:szCs w:val="28"/>
        </w:rPr>
        <w:t xml:space="preserve"> Возможно </w:t>
      </w:r>
      <w:r>
        <w:rPr>
          <w:rFonts w:ascii="Times New Roman" w:hAnsi="Times New Roman" w:cs="Times New Roman"/>
          <w:sz w:val="28"/>
          <w:szCs w:val="28"/>
        </w:rPr>
        <w:t xml:space="preserve">ли в рамках "гаражной амнистии" </w:t>
      </w:r>
      <w:r w:rsidRPr="00AF236E">
        <w:rPr>
          <w:rFonts w:ascii="Times New Roman" w:hAnsi="Times New Roman" w:cs="Times New Roman"/>
          <w:sz w:val="28"/>
          <w:szCs w:val="28"/>
        </w:rPr>
        <w:t>узаконить земельные участки под несколькими гаражами?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Ответ:</w:t>
      </w:r>
      <w:r w:rsidRPr="00AF236E">
        <w:rPr>
          <w:rFonts w:ascii="Times New Roman" w:hAnsi="Times New Roman" w:cs="Times New Roman"/>
          <w:sz w:val="28"/>
          <w:szCs w:val="28"/>
        </w:rPr>
        <w:t xml:space="preserve"> Закон о "гаражной амнистии" не устанавливает однократность предоставления земельного участка в собственность бесплатно для размещения гаража. При соблюдении условий, предусмотренных Законом о "гаражной амнистии", возможно оформление права собственности в упрощенном порядке на несколько гаражей и земельных участков под ними.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F236E">
        <w:rPr>
          <w:rFonts w:ascii="Times New Roman" w:hAnsi="Times New Roman" w:cs="Times New Roman"/>
          <w:sz w:val="28"/>
          <w:szCs w:val="28"/>
        </w:rPr>
        <w:t xml:space="preserve"> Металлические гаражи подпадают под "гаражную амнистию"?</w:t>
      </w:r>
    </w:p>
    <w:p w:rsidR="00AF236E" w:rsidRPr="00AF236E" w:rsidRDefault="00AF236E" w:rsidP="00AF23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Ответ:</w:t>
      </w:r>
      <w:r w:rsidRPr="00AF236E">
        <w:rPr>
          <w:rFonts w:ascii="Times New Roman" w:hAnsi="Times New Roman" w:cs="Times New Roman"/>
          <w:sz w:val="28"/>
          <w:szCs w:val="28"/>
        </w:rPr>
        <w:t xml:space="preserve"> Под гаражами, которые подпадают под действие "гаражной амнистии", понимаются объекты при условии одновременного соблюдения трех условий: здание должно являться капитальным, то есть прочно связано с землей, возведено до 30.12.2004 года (до вступления в силу Градостроительного кодекса РФ), а также не признано самовольной постройкой по решению суда или органа местной власти. При этом гараж может быть отдельно стоящим или иметь общие стены, крышу и фундамент с другими гаражами.</w:t>
      </w: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904D2" w:rsidRDefault="00E904D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236E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04D2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2023-04-18T06:39:00Z</dcterms:created>
  <dcterms:modified xsi:type="dcterms:W3CDTF">2023-04-18T06:39:00Z</dcterms:modified>
</cp:coreProperties>
</file>