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2D61B6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  <w:bookmarkStart w:id="0" w:name="_GoBack"/>
      <w:bookmarkEnd w:id="0"/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75672" w:rsidRPr="00375672" w:rsidRDefault="00375672" w:rsidP="00375672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Style w:val="ab"/>
          <w:rFonts w:ascii="inherit" w:hAnsi="inherit" w:cs="Helvetica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r w:rsidRPr="00375672">
        <w:rPr>
          <w:rStyle w:val="ab"/>
          <w:rFonts w:ascii="inherit" w:hAnsi="inherit" w:cs="Helvetica"/>
          <w:b/>
          <w:bCs/>
          <w:i w:val="0"/>
          <w:color w:val="000000"/>
          <w:sz w:val="28"/>
          <w:szCs w:val="28"/>
          <w:bdr w:val="none" w:sz="0" w:space="0" w:color="auto" w:frame="1"/>
        </w:rPr>
        <w:t>Волгоградский Росреестр</w:t>
      </w:r>
      <w:r w:rsidRPr="00375672">
        <w:rPr>
          <w:rStyle w:val="ab"/>
          <w:rFonts w:ascii="inherit" w:hAnsi="inherit" w:cs="Helvetica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375672">
        <w:rPr>
          <w:rStyle w:val="ab"/>
          <w:rFonts w:ascii="inherit" w:hAnsi="inherit" w:cs="Helvetica"/>
          <w:b/>
          <w:bCs/>
          <w:i w:val="0"/>
          <w:color w:val="000000"/>
          <w:sz w:val="28"/>
          <w:szCs w:val="28"/>
          <w:bdr w:val="none" w:sz="0" w:space="0" w:color="auto" w:frame="1"/>
        </w:rPr>
        <w:t>обобщил</w:t>
      </w:r>
      <w:r w:rsidRPr="00375672">
        <w:rPr>
          <w:rStyle w:val="ab"/>
          <w:rFonts w:ascii="inherit" w:hAnsi="inherit" w:cs="Helvetica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наиболее</w:t>
      </w:r>
      <w:r w:rsidRPr="00375672">
        <w:rPr>
          <w:rStyle w:val="ab"/>
          <w:rFonts w:ascii="inherit" w:hAnsi="inherit" w:cs="Helvetica"/>
          <w:b/>
          <w:bCs/>
          <w:i w:val="0"/>
          <w:color w:val="2A2A2A"/>
          <w:sz w:val="28"/>
          <w:szCs w:val="28"/>
          <w:bdr w:val="none" w:sz="0" w:space="0" w:color="auto" w:frame="1"/>
        </w:rPr>
        <w:t xml:space="preserve"> распространенные причины решений о приостановлении в государственном кадастровом учете и (или) государственной регистрации прав</w:t>
      </w:r>
    </w:p>
    <w:p w:rsidR="00375672" w:rsidRDefault="00375672" w:rsidP="00375672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Helvetica" w:hAnsi="Helvetica" w:cs="Helvetica"/>
          <w:color w:val="2A2A2A"/>
          <w:sz w:val="21"/>
          <w:szCs w:val="21"/>
        </w:rPr>
      </w:pPr>
    </w:p>
    <w:p w:rsidR="00375672" w:rsidRPr="005F10FB" w:rsidRDefault="00375672" w:rsidP="0037567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A2A2A"/>
          <w:sz w:val="28"/>
          <w:szCs w:val="28"/>
          <w:bdr w:val="none" w:sz="0" w:space="0" w:color="auto" w:frame="1"/>
        </w:rPr>
      </w:pPr>
      <w:r>
        <w:rPr>
          <w:color w:val="2A2A2A"/>
          <w:sz w:val="28"/>
          <w:szCs w:val="28"/>
          <w:bdr w:val="none" w:sz="0" w:space="0" w:color="auto" w:frame="1"/>
        </w:rPr>
        <w:t>Основными причинами отказов и приостановлений осуществления государственного кадастрового учёта и (или) государственной регистрации прав являются:</w:t>
      </w:r>
    </w:p>
    <w:p w:rsidR="00375672" w:rsidRPr="005F10FB" w:rsidRDefault="00375672" w:rsidP="0037567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A2A2A"/>
          <w:sz w:val="28"/>
          <w:szCs w:val="28"/>
          <w:bdr w:val="none" w:sz="0" w:space="0" w:color="auto" w:frame="1"/>
        </w:rPr>
      </w:pPr>
      <w:r>
        <w:rPr>
          <w:color w:val="2A2A2A"/>
          <w:sz w:val="28"/>
          <w:szCs w:val="28"/>
          <w:bdr w:val="none" w:sz="0" w:space="0" w:color="auto" w:frame="1"/>
        </w:rPr>
        <w:t xml:space="preserve">— непредставление документов, необходимых для осуществления государственного кадастрового учета (п. 5 ч. 1 ст. 26 </w:t>
      </w:r>
      <w:r w:rsidRPr="008A5ADE">
        <w:rPr>
          <w:color w:val="2A2A2A"/>
          <w:sz w:val="28"/>
          <w:szCs w:val="28"/>
          <w:bdr w:val="none" w:sz="0" w:space="0" w:color="auto" w:frame="1"/>
        </w:rPr>
        <w:t xml:space="preserve">Федерального закона от 13.07.2015 № 218-ФЗ"О государственной регистрации недвижимости", далее - </w:t>
      </w:r>
      <w:r>
        <w:rPr>
          <w:color w:val="2A2A2A"/>
          <w:sz w:val="28"/>
          <w:szCs w:val="28"/>
          <w:bdr w:val="none" w:sz="0" w:space="0" w:color="auto" w:frame="1"/>
        </w:rPr>
        <w:t>Закон о регистрации);</w:t>
      </w:r>
    </w:p>
    <w:p w:rsidR="00375672" w:rsidRPr="005F10FB" w:rsidRDefault="00375672" w:rsidP="0037567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A2A2A"/>
          <w:sz w:val="28"/>
          <w:szCs w:val="28"/>
          <w:bdr w:val="none" w:sz="0" w:space="0" w:color="auto" w:frame="1"/>
        </w:rPr>
      </w:pPr>
      <w:r>
        <w:rPr>
          <w:color w:val="2A2A2A"/>
          <w:sz w:val="28"/>
          <w:szCs w:val="28"/>
          <w:bdr w:val="none" w:sz="0" w:space="0" w:color="auto" w:frame="1"/>
        </w:rPr>
        <w:t>—   форма и (или) содержание документа, представленного для осуществления кадастрового учета, не соответствуют требованиям законодательства Российской Федерации (п. 7 ч. 1 ст. 26 Закона о регистрации);</w:t>
      </w:r>
    </w:p>
    <w:p w:rsidR="00375672" w:rsidRPr="005F10FB" w:rsidRDefault="00375672" w:rsidP="0037567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A2A2A"/>
          <w:sz w:val="28"/>
          <w:szCs w:val="28"/>
          <w:bdr w:val="none" w:sz="0" w:space="0" w:color="auto" w:frame="1"/>
        </w:rPr>
      </w:pPr>
      <w:r>
        <w:rPr>
          <w:color w:val="2A2A2A"/>
          <w:sz w:val="28"/>
          <w:szCs w:val="28"/>
          <w:bdr w:val="none" w:sz="0" w:space="0" w:color="auto" w:frame="1"/>
        </w:rPr>
        <w:t>— границы земельного участка пересекают границы другого земельного участка, сведения о котором содержатся в ЕГРН (п. 20 ч. 1 ст. 26 Закона о регистрации);</w:t>
      </w:r>
    </w:p>
    <w:p w:rsidR="00375672" w:rsidRDefault="00375672" w:rsidP="0037567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A2A2A"/>
          <w:sz w:val="28"/>
          <w:szCs w:val="28"/>
          <w:bdr w:val="none" w:sz="0" w:space="0" w:color="auto" w:frame="1"/>
        </w:rPr>
      </w:pPr>
      <w:r>
        <w:rPr>
          <w:color w:val="2A2A2A"/>
          <w:sz w:val="28"/>
          <w:szCs w:val="28"/>
          <w:bdr w:val="none" w:sz="0" w:space="0" w:color="auto" w:frame="1"/>
        </w:rPr>
        <w:t>— имеются противоречия между сведениями об объекте недвижимости, содержащимися в представленных заявителем документах, и сведениями ЕГРН о таком объекте недвижимости (п.49 ч.1 ст.26 Закона о регистрации).</w:t>
      </w:r>
    </w:p>
    <w:p w:rsidR="00375672" w:rsidRPr="005F10FB" w:rsidRDefault="00375672" w:rsidP="00375672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A2A2A"/>
          <w:sz w:val="28"/>
          <w:szCs w:val="28"/>
          <w:bdr w:val="none" w:sz="0" w:space="0" w:color="auto" w:frame="1"/>
        </w:rPr>
      </w:pPr>
    </w:p>
    <w:p w:rsidR="00375672" w:rsidRDefault="00375672" w:rsidP="00375672">
      <w:pPr>
        <w:pStyle w:val="a8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r>
        <w:rPr>
          <w:rStyle w:val="ab"/>
          <w:b/>
          <w:bCs/>
          <w:color w:val="000000"/>
          <w:sz w:val="28"/>
          <w:szCs w:val="28"/>
          <w:bdr w:val="none" w:sz="0" w:space="0" w:color="auto" w:frame="1"/>
        </w:rPr>
        <w:t xml:space="preserve"> Кто и каким образом может обжаловать </w:t>
      </w:r>
      <w:r>
        <w:rPr>
          <w:rStyle w:val="ab"/>
          <w:b/>
          <w:bCs/>
          <w:color w:val="2A2A2A"/>
          <w:sz w:val="28"/>
          <w:szCs w:val="28"/>
          <w:bdr w:val="none" w:sz="0" w:space="0" w:color="auto" w:frame="1"/>
        </w:rPr>
        <w:t>решение о приостановлении</w:t>
      </w:r>
      <w:r>
        <w:rPr>
          <w:rStyle w:val="ab"/>
          <w:b/>
          <w:bCs/>
          <w:color w:val="000000"/>
          <w:sz w:val="28"/>
          <w:szCs w:val="28"/>
          <w:bdr w:val="none" w:sz="0" w:space="0" w:color="auto" w:frame="1"/>
        </w:rPr>
        <w:t>?</w:t>
      </w:r>
    </w:p>
    <w:p w:rsidR="00375672" w:rsidRPr="0027790A" w:rsidRDefault="00375672" w:rsidP="00375672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inherit" w:hAnsi="inherit" w:cs="Helvetica"/>
          <w:color w:val="2A2A2A"/>
          <w:sz w:val="28"/>
          <w:szCs w:val="28"/>
          <w:bdr w:val="none" w:sz="0" w:space="0" w:color="auto" w:frame="1"/>
        </w:rPr>
      </w:pPr>
      <w:r>
        <w:rPr>
          <w:rFonts w:ascii="inherit" w:hAnsi="inherit" w:cs="Helvetica"/>
          <w:color w:val="2A2A2A"/>
          <w:sz w:val="28"/>
          <w:szCs w:val="28"/>
          <w:bdr w:val="none" w:sz="0" w:space="0" w:color="auto" w:frame="1"/>
        </w:rPr>
        <w:t>В соответствии с </w:t>
      </w:r>
      <w:hyperlink r:id="rId6" w:history="1">
        <w:r w:rsidRPr="0027790A">
          <w:rPr>
            <w:color w:val="2A2A2A"/>
          </w:rPr>
          <w:t>частью 1 статьи 26.1</w:t>
        </w:r>
      </w:hyperlink>
      <w:r>
        <w:rPr>
          <w:rFonts w:ascii="inherit" w:hAnsi="inherit" w:cs="Helvetica"/>
          <w:color w:val="2A2A2A"/>
          <w:sz w:val="28"/>
          <w:szCs w:val="28"/>
          <w:bdr w:val="none" w:sz="0" w:space="0" w:color="auto" w:frame="1"/>
        </w:rPr>
        <w:t> Федерального закона от 24.07.2007 № 221-ФЗ «О кадастровой деятельности» обжалование решения о приостановлении государственного кадастрового учета или государственного кадастрового учета и государственной регистрации прав («единая процедура») в судебном порядке возможно только после обжалования такого решения в апелляционную комиссию.</w:t>
      </w:r>
    </w:p>
    <w:p w:rsidR="00375672" w:rsidRDefault="00375672" w:rsidP="00375672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r>
        <w:rPr>
          <w:rFonts w:ascii="inherit" w:hAnsi="inherit" w:cs="Helvetica"/>
          <w:color w:val="2A2A2A"/>
          <w:sz w:val="28"/>
          <w:szCs w:val="28"/>
          <w:bdr w:val="none" w:sz="0" w:space="0" w:color="auto" w:frame="1"/>
        </w:rPr>
        <w:t>Подать заявление об обжаловании могут заинтересованные лица или их представители, включая кадастровых инженеров, не согласных с решением органа регистрации прав. </w:t>
      </w:r>
    </w:p>
    <w:p w:rsidR="00375672" w:rsidRDefault="00375672" w:rsidP="00375672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r>
        <w:rPr>
          <w:color w:val="2A2A2A"/>
          <w:sz w:val="28"/>
          <w:szCs w:val="28"/>
          <w:bdr w:val="none" w:sz="0" w:space="0" w:color="auto" w:frame="1"/>
        </w:rPr>
        <w:t>Заявление об обжаловании решения о приостановлении представляется в апелляционную комиссию в течение 30 дней с даты принятия такого решения:</w:t>
      </w:r>
    </w:p>
    <w:p w:rsidR="00375672" w:rsidRDefault="00375672" w:rsidP="00375672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r>
        <w:rPr>
          <w:color w:val="2A2A2A"/>
          <w:sz w:val="28"/>
          <w:szCs w:val="28"/>
          <w:bdr w:val="none" w:sz="0" w:space="0" w:color="auto" w:frame="1"/>
        </w:rPr>
        <w:t xml:space="preserve">— физическим или юридическим лицом, представившим заявление о государственном кадастровом учете и (или) государственной регистрации </w:t>
      </w:r>
      <w:r>
        <w:rPr>
          <w:color w:val="2A2A2A"/>
          <w:sz w:val="28"/>
          <w:szCs w:val="28"/>
          <w:bdr w:val="none" w:sz="0" w:space="0" w:color="auto" w:frame="1"/>
        </w:rPr>
        <w:lastRenderedPageBreak/>
        <w:t>прав и прилагаемые к нему документы (далее — заявление) в орган регистрации прав, по результатам рассмотрения которого было принято решение о приостановлении, либо его представителем;</w:t>
      </w:r>
    </w:p>
    <w:p w:rsidR="00375672" w:rsidRDefault="00375672" w:rsidP="00375672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r>
        <w:rPr>
          <w:color w:val="2A2A2A"/>
          <w:sz w:val="28"/>
          <w:szCs w:val="28"/>
          <w:bdr w:val="none" w:sz="0" w:space="0" w:color="auto" w:frame="1"/>
        </w:rPr>
        <w:t>— кадастровым инженером, изготовившим межевой план, технический план или акт обследования, представленный с заявлением в орган регистрации прав, по результатам рассмотрения которых было принято решение о приостановлении;</w:t>
      </w:r>
    </w:p>
    <w:p w:rsidR="00375672" w:rsidRDefault="00375672" w:rsidP="00375672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A2A2A"/>
          <w:sz w:val="28"/>
          <w:szCs w:val="28"/>
          <w:bdr w:val="none" w:sz="0" w:space="0" w:color="auto" w:frame="1"/>
        </w:rPr>
      </w:pPr>
      <w:r>
        <w:rPr>
          <w:color w:val="2A2A2A"/>
          <w:sz w:val="28"/>
          <w:szCs w:val="28"/>
          <w:bdr w:val="none" w:sz="0" w:space="0" w:color="auto" w:frame="1"/>
        </w:rPr>
        <w:t>— представителем юридического лица, работником которого является кадастровый инженер, изготовивший межевой план, технический план или акт обследования, представленный с заявлением в орган регистрации прав, по результатам рассмотрения которых было принято решение о приостановлении.</w:t>
      </w:r>
    </w:p>
    <w:p w:rsidR="00375672" w:rsidRDefault="00375672" w:rsidP="00375672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2A2A2A"/>
          <w:sz w:val="21"/>
          <w:szCs w:val="21"/>
        </w:rPr>
      </w:pPr>
    </w:p>
    <w:p w:rsidR="00375672" w:rsidRDefault="00375672" w:rsidP="00375672">
      <w:pPr>
        <w:pStyle w:val="a8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r>
        <w:rPr>
          <w:rStyle w:val="ab"/>
          <w:b/>
          <w:bCs/>
          <w:color w:val="2A2A2A"/>
          <w:sz w:val="28"/>
          <w:szCs w:val="28"/>
          <w:bdr w:val="none" w:sz="0" w:space="0" w:color="auto" w:frame="1"/>
        </w:rPr>
        <w:t xml:space="preserve"> Какие меры принимает государственный регистратор для устранения причин приостановления?</w:t>
      </w:r>
    </w:p>
    <w:p w:rsidR="00375672" w:rsidRDefault="00375672" w:rsidP="00375672">
      <w:pPr>
        <w:pStyle w:val="11"/>
        <w:shd w:val="clear" w:color="auto" w:fill="FFFFFF"/>
        <w:spacing w:before="0" w:beforeAutospacing="0" w:after="0" w:afterAutospacing="0"/>
        <w:ind w:left="-210" w:firstLine="709"/>
        <w:jc w:val="both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r>
        <w:rPr>
          <w:color w:val="2A2A2A"/>
          <w:sz w:val="27"/>
          <w:szCs w:val="27"/>
          <w:bdr w:val="none" w:sz="0" w:space="0" w:color="auto" w:frame="1"/>
        </w:rPr>
        <w:t>В ходе проведения правовой экспертизы представленных документов, в случае необходимости, государственные регистраторы направляют межведомственные запросы, позволяющие устранить причины приостановления в осуществлении учетно-регистрационных действий. Государственные регистраторы постоянно взаимодействуют с кадастровыми инженерами в целях устранения препятствий для осуществления государственного кадастрового учета до принятия решения о приостановлении. Обо всех допущенных ошибках кадастровые инженеры извещаются своевременно.</w:t>
      </w:r>
    </w:p>
    <w:p w:rsidR="00375672" w:rsidRDefault="00375672" w:rsidP="00375672">
      <w:pPr>
        <w:pStyle w:val="11"/>
        <w:shd w:val="clear" w:color="auto" w:fill="FFFFFF"/>
        <w:spacing w:before="0" w:beforeAutospacing="0" w:after="0" w:afterAutospacing="0"/>
        <w:ind w:left="-210" w:firstLine="709"/>
        <w:jc w:val="both"/>
        <w:textAlignment w:val="baseline"/>
        <w:rPr>
          <w:color w:val="2A2A2A"/>
          <w:sz w:val="28"/>
          <w:szCs w:val="28"/>
          <w:bdr w:val="none" w:sz="0" w:space="0" w:color="auto" w:frame="1"/>
        </w:rPr>
      </w:pPr>
      <w:r>
        <w:rPr>
          <w:color w:val="2A2A2A"/>
          <w:sz w:val="28"/>
          <w:szCs w:val="28"/>
          <w:bdr w:val="none" w:sz="0" w:space="0" w:color="auto" w:frame="1"/>
        </w:rPr>
        <w:t>На базе Филиала ФГБУ «ФКП Росреестра» по Волгоградской области организуются и проводятся обучающие семинары — совещания с участием работников Филиала, государственных регистраторов, представителей МФЦ и кадастровых инженеров, в ходе которых рассматриваются вопросы качества подготовки документов, представляемых на государственный кадастровый учет и государственную регистрацию прав, а также типичные ошибки, допускаемые кадастровыми инженерами и работниками МФЦ.</w:t>
      </w:r>
    </w:p>
    <w:p w:rsidR="00375672" w:rsidRDefault="00375672" w:rsidP="00375672">
      <w:pPr>
        <w:pStyle w:val="11"/>
        <w:shd w:val="clear" w:color="auto" w:fill="FFFFFF"/>
        <w:spacing w:before="0" w:beforeAutospacing="0" w:after="0" w:afterAutospacing="0"/>
        <w:ind w:left="-210" w:firstLine="709"/>
        <w:jc w:val="both"/>
        <w:textAlignment w:val="baseline"/>
        <w:rPr>
          <w:rFonts w:ascii="Helvetica" w:hAnsi="Helvetica" w:cs="Helvetica"/>
          <w:color w:val="2A2A2A"/>
          <w:sz w:val="21"/>
          <w:szCs w:val="21"/>
        </w:rPr>
      </w:pPr>
    </w:p>
    <w:p w:rsidR="00375672" w:rsidRDefault="00375672" w:rsidP="00375672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r>
        <w:rPr>
          <w:rStyle w:val="ab"/>
          <w:rFonts w:ascii="inherit" w:hAnsi="inherit" w:cs="Helvetica"/>
          <w:b/>
          <w:bCs/>
          <w:color w:val="000000"/>
          <w:sz w:val="28"/>
          <w:szCs w:val="28"/>
          <w:bdr w:val="none" w:sz="0" w:space="0" w:color="auto" w:frame="1"/>
        </w:rPr>
        <w:t>Сколько раз заявитель, либо его представитель может предоставлять дополнительные документы для устранения препятствий в проведении государственного кадастрового учета и (или) государственной регистрации прав?</w:t>
      </w:r>
    </w:p>
    <w:p w:rsidR="00375672" w:rsidRDefault="00375672" w:rsidP="00375672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Helvetica" w:hAnsi="Helvetica" w:cs="Helvetica"/>
          <w:color w:val="2A2A2A"/>
          <w:sz w:val="21"/>
          <w:szCs w:val="21"/>
        </w:rPr>
      </w:pPr>
      <w:r>
        <w:rPr>
          <w:color w:val="2A2A2A"/>
          <w:sz w:val="28"/>
          <w:szCs w:val="28"/>
          <w:bdr w:val="none" w:sz="0" w:space="0" w:color="auto" w:frame="1"/>
        </w:rPr>
        <w:t>В отдельных случаях в дополнительно представленных документах, устраняющих причины приостановления, допускаются новые ошибки, влекущие невозможность принятия положительного решения. В связи с чем, нередко встречаются случаи, когда в отношении одного заявленного учетно-регистрационного действия, дополнительные документы представляются неоднократно.</w:t>
      </w:r>
    </w:p>
    <w:p w:rsidR="00783C02" w:rsidRPr="008B760B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94648086B4E43C85FDA3F1B5670CAC9927FFAFB443F1270B8AAA7E167A4B506E2FAFCC96Q016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2022-10-04T07:59:00Z</dcterms:created>
  <dcterms:modified xsi:type="dcterms:W3CDTF">2022-10-04T08:03:00Z</dcterms:modified>
</cp:coreProperties>
</file>